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3B" w:rsidRDefault="008A343B" w:rsidP="002B4DED">
      <w:pPr>
        <w:spacing w:before="480" w:after="240"/>
        <w:jc w:val="both"/>
        <w:rPr>
          <w:b/>
          <w:bCs/>
          <w:i/>
          <w:iCs/>
          <w:sz w:val="28"/>
        </w:rPr>
      </w:pPr>
      <w:r>
        <w:rPr>
          <w:b/>
          <w:bCs/>
          <w:i/>
          <w:iCs/>
          <w:sz w:val="28"/>
        </w:rPr>
        <w:t>SECTION I</w:t>
      </w:r>
    </w:p>
    <w:p w:rsidR="008A343B" w:rsidRDefault="008A343B" w:rsidP="002B4DED">
      <w:pPr>
        <w:pStyle w:val="Heading4"/>
        <w:tabs>
          <w:tab w:val="clear" w:pos="360"/>
          <w:tab w:val="clear" w:pos="960"/>
          <w:tab w:val="clear" w:pos="1560"/>
          <w:tab w:val="clear" w:pos="4800"/>
        </w:tabs>
        <w:spacing w:after="240"/>
        <w:jc w:val="left"/>
      </w:pPr>
      <w:r>
        <w:t>CONDITIONS SPECIFIC TO THIS PERMIT</w:t>
      </w:r>
    </w:p>
    <w:p w:rsidR="008232B2" w:rsidRPr="00D416A3" w:rsidRDefault="008A343B" w:rsidP="00D416A3">
      <w:pPr>
        <w:pStyle w:val="Heading2"/>
        <w:tabs>
          <w:tab w:val="clear" w:pos="360"/>
          <w:tab w:val="clear" w:pos="960"/>
          <w:tab w:val="clear" w:pos="1560"/>
          <w:tab w:val="clear" w:pos="4800"/>
        </w:tabs>
        <w:rPr>
          <w:rFonts w:cs="Tahoma"/>
          <w:b w:val="0"/>
          <w:i w:val="0"/>
        </w:rPr>
      </w:pPr>
      <w:r w:rsidRPr="00D416A3">
        <w:rPr>
          <w:b w:val="0"/>
          <w:i w:val="0"/>
        </w:rPr>
        <w:t xml:space="preserve">During the period from </w:t>
      </w:r>
      <w:r w:rsidR="00D416A3" w:rsidRPr="00D416A3">
        <w:rPr>
          <w:b w:val="0"/>
          <w:i w:val="0"/>
        </w:rPr>
        <w:t>10</w:t>
      </w:r>
      <w:r w:rsidRPr="00D416A3">
        <w:rPr>
          <w:b w:val="0"/>
          <w:i w:val="0"/>
        </w:rPr>
        <w:t xml:space="preserve">/01/09 to </w:t>
      </w:r>
      <w:r w:rsidR="00D416A3" w:rsidRPr="00D416A3">
        <w:rPr>
          <w:b w:val="0"/>
          <w:i w:val="0"/>
        </w:rPr>
        <w:t>9</w:t>
      </w:r>
      <w:r w:rsidRPr="00D416A3">
        <w:rPr>
          <w:b w:val="0"/>
          <w:i w:val="0"/>
        </w:rPr>
        <w:t>/</w:t>
      </w:r>
      <w:r w:rsidR="00D416A3" w:rsidRPr="00D416A3">
        <w:rPr>
          <w:b w:val="0"/>
          <w:i w:val="0"/>
        </w:rPr>
        <w:t>30</w:t>
      </w:r>
      <w:r w:rsidRPr="00D416A3">
        <w:rPr>
          <w:b w:val="0"/>
          <w:i w:val="0"/>
        </w:rPr>
        <w:t>/</w:t>
      </w:r>
      <w:r w:rsidR="006515C1" w:rsidRPr="00D416A3">
        <w:rPr>
          <w:b w:val="0"/>
          <w:i w:val="0"/>
        </w:rPr>
        <w:t>12</w:t>
      </w:r>
      <w:r w:rsidRPr="00D416A3">
        <w:rPr>
          <w:b w:val="0"/>
          <w:i w:val="0"/>
        </w:rPr>
        <w:t xml:space="preserve">, the permit holder is authorized to discharge wastewater from </w:t>
      </w:r>
      <w:r w:rsidR="006515C1" w:rsidRPr="00D416A3">
        <w:rPr>
          <w:rFonts w:cs="Tahoma"/>
          <w:b w:val="0"/>
          <w:i w:val="0"/>
        </w:rPr>
        <w:t xml:space="preserve">the </w:t>
      </w:r>
      <w:r w:rsidR="00D416A3" w:rsidRPr="00D416A3">
        <w:rPr>
          <w:b w:val="0"/>
          <w:i w:val="0"/>
        </w:rPr>
        <w:t>Chick-Fil-A</w:t>
      </w:r>
      <w:r w:rsidR="00D416A3" w:rsidRPr="00D416A3">
        <w:rPr>
          <w:b w:val="0"/>
          <w:i w:val="0"/>
          <w:szCs w:val="28"/>
        </w:rPr>
        <w:t xml:space="preserve"> </w:t>
      </w:r>
      <w:r w:rsidR="006515C1" w:rsidRPr="00D416A3">
        <w:rPr>
          <w:b w:val="0"/>
          <w:i w:val="0"/>
        </w:rPr>
        <w:t>restaurant</w:t>
      </w:r>
      <w:r w:rsidR="008232B2" w:rsidRPr="00D416A3">
        <w:rPr>
          <w:b w:val="0"/>
          <w:i w:val="0"/>
        </w:rPr>
        <w:t xml:space="preserve"> </w:t>
      </w:r>
      <w:r w:rsidR="0085097A" w:rsidRPr="00D416A3">
        <w:rPr>
          <w:rFonts w:cs="Tahoma"/>
          <w:b w:val="0"/>
          <w:i w:val="0"/>
        </w:rPr>
        <w:t xml:space="preserve">facility </w:t>
      </w:r>
      <w:r w:rsidR="006515C1" w:rsidRPr="00D416A3">
        <w:rPr>
          <w:rFonts w:cs="Tahoma"/>
          <w:b w:val="0"/>
          <w:i w:val="0"/>
        </w:rPr>
        <w:t xml:space="preserve">located </w:t>
      </w:r>
      <w:r w:rsidR="00D416A3" w:rsidRPr="00D416A3">
        <w:rPr>
          <w:b w:val="0"/>
          <w:i w:val="0"/>
          <w:szCs w:val="28"/>
        </w:rPr>
        <w:t>at Riverview Plaza</w:t>
      </w:r>
      <w:r w:rsidR="006515C1" w:rsidRPr="00D416A3">
        <w:rPr>
          <w:b w:val="0"/>
          <w:i w:val="0"/>
        </w:rPr>
        <w:t>,</w:t>
      </w:r>
      <w:r w:rsidR="006515C1" w:rsidRPr="00D416A3">
        <w:rPr>
          <w:rFonts w:cs="Tahoma"/>
          <w:b w:val="0"/>
          <w:i w:val="0"/>
        </w:rPr>
        <w:t xml:space="preserve"> </w:t>
      </w:r>
      <w:r w:rsidR="00D416A3" w:rsidRPr="00D416A3">
        <w:rPr>
          <w:b w:val="0"/>
          <w:i w:val="0"/>
          <w:szCs w:val="28"/>
        </w:rPr>
        <w:t>5501 Urbana Pike</w:t>
      </w:r>
      <w:r w:rsidR="00D416A3">
        <w:rPr>
          <w:b w:val="0"/>
          <w:i w:val="0"/>
          <w:szCs w:val="28"/>
        </w:rPr>
        <w:t xml:space="preserve">, </w:t>
      </w:r>
      <w:r w:rsidR="006515C1" w:rsidRPr="00D416A3">
        <w:rPr>
          <w:rFonts w:cs="Tahoma"/>
          <w:b w:val="0"/>
          <w:i w:val="0"/>
        </w:rPr>
        <w:t>Frederick, Maryland</w:t>
      </w:r>
      <w:r w:rsidR="006515C1" w:rsidRPr="00D416A3">
        <w:rPr>
          <w:b w:val="0"/>
          <w:i w:val="0"/>
        </w:rPr>
        <w:t>, as described in the Industrial Waste Surv</w:t>
      </w:r>
      <w:r w:rsidR="0085097A" w:rsidRPr="00D416A3">
        <w:rPr>
          <w:b w:val="0"/>
          <w:i w:val="0"/>
        </w:rPr>
        <w:t xml:space="preserve">ey and as noted on </w:t>
      </w:r>
      <w:r w:rsidR="006515C1" w:rsidRPr="00D416A3">
        <w:rPr>
          <w:b w:val="0"/>
          <w:i w:val="0"/>
        </w:rPr>
        <w:t>site plans submitted to the Frederick County Division of Utilities and Solid Waste Management.  Wastewater from this facility includes discharge from the on-site grease trap</w:t>
      </w:r>
      <w:r w:rsidR="0085097A" w:rsidRPr="00D416A3">
        <w:rPr>
          <w:b w:val="0"/>
          <w:i w:val="0"/>
        </w:rPr>
        <w:t xml:space="preserve"> and </w:t>
      </w:r>
      <w:r w:rsidR="006515C1" w:rsidRPr="00D416A3">
        <w:rPr>
          <w:b w:val="0"/>
          <w:i w:val="0"/>
        </w:rPr>
        <w:t>sanitary wastewater from washrooms not treated by the grease trap.</w:t>
      </w:r>
      <w:r w:rsidR="008232B2" w:rsidRPr="00D416A3">
        <w:rPr>
          <w:b w:val="0"/>
          <w:i w:val="0"/>
        </w:rPr>
        <w:t xml:space="preserve"> </w:t>
      </w:r>
      <w:r w:rsidR="006515C1" w:rsidRPr="00D416A3">
        <w:rPr>
          <w:b w:val="0"/>
          <w:i w:val="0"/>
        </w:rPr>
        <w:t xml:space="preserve">Any subsequent </w:t>
      </w:r>
      <w:r w:rsidR="006515C1" w:rsidRPr="00D416A3">
        <w:rPr>
          <w:b w:val="0"/>
          <w:bCs w:val="0"/>
          <w:i w:val="0"/>
        </w:rPr>
        <w:t xml:space="preserve">changes in the volume or characteristics </w:t>
      </w:r>
      <w:r w:rsidR="006515C1" w:rsidRPr="00D416A3">
        <w:rPr>
          <w:b w:val="0"/>
          <w:i w:val="0"/>
        </w:rPr>
        <w:t xml:space="preserve">of the wastewater discharge from </w:t>
      </w:r>
      <w:r w:rsidR="00D416A3">
        <w:rPr>
          <w:b w:val="0"/>
          <w:i w:val="0"/>
        </w:rPr>
        <w:t xml:space="preserve">Chick-Fil-A </w:t>
      </w:r>
      <w:r w:rsidR="006515C1" w:rsidRPr="00D416A3">
        <w:rPr>
          <w:b w:val="0"/>
          <w:i w:val="0"/>
        </w:rPr>
        <w:t xml:space="preserve">must be approved prior to commencement. </w:t>
      </w:r>
      <w:r w:rsidR="008232B2" w:rsidRPr="00D416A3">
        <w:rPr>
          <w:b w:val="0"/>
          <w:i w:val="0"/>
        </w:rPr>
        <w:t xml:space="preserve">Wastewater discharge monitoring shall be conducted from outfall </w:t>
      </w:r>
      <w:r w:rsidR="00D416A3">
        <w:rPr>
          <w:b w:val="0"/>
          <w:i w:val="0"/>
        </w:rPr>
        <w:t>39</w:t>
      </w:r>
      <w:r w:rsidR="008232B2" w:rsidRPr="00D416A3">
        <w:rPr>
          <w:b w:val="0"/>
          <w:i w:val="0"/>
        </w:rPr>
        <w:t>01, also known as the monitoring manhole on plans as submitted to the County.  All such discharge from the above named facility shall be limited and monitored as specified below:</w:t>
      </w:r>
    </w:p>
    <w:p w:rsidR="008A343B" w:rsidRDefault="008A343B" w:rsidP="00DA426D">
      <w:pPr>
        <w:jc w:val="both"/>
      </w:pPr>
    </w:p>
    <w:p w:rsidR="008232B2" w:rsidRPr="003F0A99" w:rsidRDefault="008232B2" w:rsidP="00DA426D">
      <w:pPr>
        <w:jc w:val="both"/>
      </w:pPr>
    </w:p>
    <w:p w:rsidR="008A343B" w:rsidRPr="003F0A99" w:rsidRDefault="008A343B" w:rsidP="00F3781E">
      <w:pPr>
        <w:pStyle w:val="BodyText"/>
        <w:tabs>
          <w:tab w:val="clear" w:pos="360"/>
          <w:tab w:val="clear" w:pos="960"/>
          <w:tab w:val="clear" w:pos="1560"/>
          <w:tab w:val="clear" w:pos="4800"/>
        </w:tabs>
        <w:jc w:val="center"/>
        <w:rPr>
          <w:b/>
          <w:bCs/>
        </w:rPr>
      </w:pPr>
      <w:r w:rsidRPr="003F0A99">
        <w:rPr>
          <w:b/>
          <w:bCs/>
        </w:rPr>
        <w:t>SPECIAL CONDITIONS</w:t>
      </w:r>
    </w:p>
    <w:p w:rsidR="007640CC" w:rsidRPr="003F0A99" w:rsidRDefault="007640CC" w:rsidP="00DA426D">
      <w:pPr>
        <w:pStyle w:val="BodyText"/>
        <w:tabs>
          <w:tab w:val="clear" w:pos="360"/>
          <w:tab w:val="clear" w:pos="960"/>
          <w:tab w:val="clear" w:pos="1560"/>
          <w:tab w:val="clear" w:pos="4800"/>
        </w:tabs>
        <w:jc w:val="left"/>
      </w:pPr>
    </w:p>
    <w:p w:rsidR="008232B2" w:rsidRPr="00BD7FDD" w:rsidRDefault="00D416A3" w:rsidP="008232B2">
      <w:pPr>
        <w:pStyle w:val="BodyText2"/>
        <w:tabs>
          <w:tab w:val="clear" w:pos="-1080"/>
          <w:tab w:val="clear" w:pos="-720"/>
          <w:tab w:val="clear" w:pos="0"/>
          <w:tab w:val="clear" w:pos="360"/>
        </w:tabs>
        <w:rPr>
          <w:sz w:val="24"/>
        </w:rPr>
      </w:pPr>
      <w:r>
        <w:rPr>
          <w:sz w:val="24"/>
        </w:rPr>
        <w:t xml:space="preserve">Chick-Fil-A </w:t>
      </w:r>
      <w:r w:rsidR="008A343B" w:rsidRPr="003F0A99">
        <w:rPr>
          <w:sz w:val="24"/>
        </w:rPr>
        <w:t>shall submit a Periodic Compliance Report to the Division of Utilities &amp; Solid Waste Management on a quarterly basis.  This report must include the items listed below and shall be submitted in accordance with and as specified in the Periodic Compliance Report section of this permit (</w:t>
      </w:r>
      <w:r w:rsidR="008232B2" w:rsidRPr="006B7418">
        <w:rPr>
          <w:i/>
        </w:rPr>
        <w:t>S</w:t>
      </w:r>
      <w:r w:rsidR="008232B2">
        <w:rPr>
          <w:i/>
        </w:rPr>
        <w:t>ECTION</w:t>
      </w:r>
      <w:r w:rsidR="008232B2" w:rsidRPr="006B7418">
        <w:rPr>
          <w:i/>
        </w:rPr>
        <w:t xml:space="preserve"> III</w:t>
      </w:r>
      <w:r w:rsidR="008232B2" w:rsidRPr="00BD7FDD">
        <w:rPr>
          <w:sz w:val="24"/>
        </w:rPr>
        <w:t>).</w:t>
      </w:r>
    </w:p>
    <w:p w:rsidR="008232B2" w:rsidRPr="00C9189D" w:rsidRDefault="008232B2" w:rsidP="008232B2">
      <w:pPr>
        <w:pStyle w:val="BodyText2"/>
        <w:tabs>
          <w:tab w:val="clear" w:pos="-1080"/>
          <w:tab w:val="clear" w:pos="-720"/>
          <w:tab w:val="clear" w:pos="0"/>
          <w:tab w:val="clear" w:pos="360"/>
        </w:tabs>
        <w:rPr>
          <w:szCs w:val="22"/>
        </w:rPr>
      </w:pPr>
    </w:p>
    <w:p w:rsidR="008A343B" w:rsidRPr="003F0A99" w:rsidRDefault="008A343B" w:rsidP="007640CC">
      <w:pPr>
        <w:numPr>
          <w:ilvl w:val="0"/>
          <w:numId w:val="2"/>
        </w:numPr>
        <w:ind w:left="360"/>
        <w:jc w:val="both"/>
      </w:pPr>
      <w:r w:rsidRPr="003F0A99">
        <w:t xml:space="preserve">All sample collection must be conducted in accordance with the general sampling requirement listed in </w:t>
      </w:r>
      <w:r w:rsidR="00C82250" w:rsidRPr="006B7418">
        <w:rPr>
          <w:i/>
        </w:rPr>
        <w:t>S</w:t>
      </w:r>
      <w:r w:rsidR="00C82250">
        <w:rPr>
          <w:i/>
        </w:rPr>
        <w:t>ECTION</w:t>
      </w:r>
      <w:r w:rsidR="00C82250" w:rsidRPr="006B7418">
        <w:rPr>
          <w:i/>
        </w:rPr>
        <w:t xml:space="preserve"> III</w:t>
      </w:r>
      <w:r w:rsidR="00C82250" w:rsidRPr="003F0A99">
        <w:t xml:space="preserve"> </w:t>
      </w:r>
      <w:r w:rsidRPr="003F0A99">
        <w:t xml:space="preserve">of this permit.  Copies of all sample collection and related activities or data, including chain-of-custody and laboratory analysis reports required by this permit shall be maintained in accordance with the Data Recording and Record Retention Requirements listed in </w:t>
      </w:r>
      <w:r w:rsidR="00C82250" w:rsidRPr="006B7418">
        <w:rPr>
          <w:i/>
        </w:rPr>
        <w:t>S</w:t>
      </w:r>
      <w:r w:rsidR="00C82250">
        <w:rPr>
          <w:i/>
        </w:rPr>
        <w:t>ECTION</w:t>
      </w:r>
      <w:r w:rsidR="00C82250" w:rsidRPr="006B7418">
        <w:rPr>
          <w:i/>
        </w:rPr>
        <w:t xml:space="preserve"> III</w:t>
      </w:r>
      <w:r w:rsidR="00C82250">
        <w:t xml:space="preserve"> </w:t>
      </w:r>
      <w:r w:rsidR="0085097A">
        <w:t xml:space="preserve">-A-6 </w:t>
      </w:r>
      <w:r w:rsidRPr="003F0A99">
        <w:t>of this permit.</w:t>
      </w:r>
    </w:p>
    <w:p w:rsidR="008A343B" w:rsidRPr="003F0A99" w:rsidRDefault="008A343B" w:rsidP="007640CC">
      <w:pPr>
        <w:pStyle w:val="BodyText2"/>
        <w:tabs>
          <w:tab w:val="clear" w:pos="-1080"/>
          <w:tab w:val="clear" w:pos="-720"/>
          <w:tab w:val="clear" w:pos="0"/>
          <w:tab w:val="clear" w:pos="360"/>
        </w:tabs>
        <w:rPr>
          <w:sz w:val="24"/>
        </w:rPr>
      </w:pPr>
    </w:p>
    <w:p w:rsidR="008A343B" w:rsidRPr="003F0A99" w:rsidRDefault="00D416A3" w:rsidP="007640CC">
      <w:pPr>
        <w:numPr>
          <w:ilvl w:val="0"/>
          <w:numId w:val="2"/>
        </w:numPr>
        <w:ind w:left="360"/>
        <w:jc w:val="both"/>
      </w:pPr>
      <w:r>
        <w:t xml:space="preserve">Chick-Fil-A </w:t>
      </w:r>
      <w:r w:rsidR="008A343B" w:rsidRPr="003F0A99">
        <w:t xml:space="preserve">shall monitor its wastewater for pollutants as listed within this permit. The frequency of this monitoring shall be as indicated in </w:t>
      </w:r>
      <w:r w:rsidR="00C82250" w:rsidRPr="006B7418">
        <w:rPr>
          <w:i/>
        </w:rPr>
        <w:t>S</w:t>
      </w:r>
      <w:r w:rsidR="00C82250">
        <w:rPr>
          <w:i/>
        </w:rPr>
        <w:t>ECTION</w:t>
      </w:r>
      <w:r w:rsidR="00C82250" w:rsidRPr="006B7418">
        <w:rPr>
          <w:i/>
        </w:rPr>
        <w:t xml:space="preserve"> II</w:t>
      </w:r>
      <w:r w:rsidR="008A343B" w:rsidRPr="003F0A99">
        <w:t xml:space="preserve">.  Analysis and data reporting shall be conducted as required in </w:t>
      </w:r>
      <w:r w:rsidR="00C82250" w:rsidRPr="006B7418">
        <w:rPr>
          <w:i/>
        </w:rPr>
        <w:t>S</w:t>
      </w:r>
      <w:r w:rsidR="00C82250">
        <w:rPr>
          <w:i/>
        </w:rPr>
        <w:t>ECTION</w:t>
      </w:r>
      <w:r w:rsidR="00C82250" w:rsidRPr="006B7418">
        <w:rPr>
          <w:i/>
        </w:rPr>
        <w:t xml:space="preserve"> III</w:t>
      </w:r>
      <w:r w:rsidR="008A343B" w:rsidRPr="003F0A99">
        <w:t>.  Frederick County Division of Utilities &amp; Solid Waste Management may conduct additional monitoring as necessary or required.</w:t>
      </w:r>
    </w:p>
    <w:p w:rsidR="008A343B" w:rsidRPr="003F0A99" w:rsidRDefault="008A343B" w:rsidP="007640CC">
      <w:pPr>
        <w:ind w:left="-108" w:right="-108"/>
        <w:jc w:val="both"/>
      </w:pPr>
    </w:p>
    <w:p w:rsidR="008A343B" w:rsidRPr="003F0A99" w:rsidRDefault="008A343B" w:rsidP="007640CC">
      <w:pPr>
        <w:numPr>
          <w:ilvl w:val="0"/>
          <w:numId w:val="2"/>
        </w:numPr>
        <w:ind w:left="360"/>
        <w:jc w:val="both"/>
      </w:pPr>
      <w:r w:rsidRPr="003F0A99">
        <w:rPr>
          <w:u w:val="single"/>
        </w:rPr>
        <w:t>Monitoring activities for BOD</w:t>
      </w:r>
      <w:r w:rsidRPr="003F0A99">
        <w:rPr>
          <w:vertAlign w:val="subscript"/>
        </w:rPr>
        <w:t>5</w:t>
      </w:r>
      <w:r w:rsidRPr="003F0A99">
        <w:rPr>
          <w:u w:val="single"/>
        </w:rPr>
        <w:t xml:space="preserve"> and</w:t>
      </w:r>
      <w:r w:rsidR="006A71EE" w:rsidRPr="003F0A99">
        <w:rPr>
          <w:u w:val="single"/>
        </w:rPr>
        <w:t xml:space="preserve"> </w:t>
      </w:r>
      <w:r w:rsidRPr="003F0A99">
        <w:rPr>
          <w:u w:val="single"/>
        </w:rPr>
        <w:t xml:space="preserve">TSS shall be conducted during </w:t>
      </w:r>
      <w:r w:rsidR="00F32629" w:rsidRPr="003F0A99">
        <w:rPr>
          <w:u w:val="single"/>
        </w:rPr>
        <w:t xml:space="preserve">two (2) </w:t>
      </w:r>
      <w:r w:rsidRPr="003F0A99">
        <w:rPr>
          <w:bCs/>
          <w:u w:val="single"/>
        </w:rPr>
        <w:t xml:space="preserve">consecutive 24-hour </w:t>
      </w:r>
      <w:r w:rsidR="00F32629" w:rsidRPr="003F0A99">
        <w:rPr>
          <w:bCs/>
          <w:u w:val="single"/>
        </w:rPr>
        <w:t xml:space="preserve">operational </w:t>
      </w:r>
      <w:r w:rsidRPr="003F0A99">
        <w:rPr>
          <w:bCs/>
          <w:u w:val="single"/>
        </w:rPr>
        <w:t>periods.</w:t>
      </w:r>
      <w:r w:rsidRPr="003F0A99">
        <w:rPr>
          <w:b/>
          <w:bCs/>
        </w:rPr>
        <w:t xml:space="preserve">  </w:t>
      </w:r>
      <w:r w:rsidRPr="003F0A99">
        <w:t>Constituents requiring grab samples (pH, and Oil &amp; Grease) shall be collected during the same two consecutive periods.</w:t>
      </w:r>
    </w:p>
    <w:p w:rsidR="008A343B" w:rsidRPr="003F0A99" w:rsidRDefault="008A343B" w:rsidP="007640CC">
      <w:pPr>
        <w:pStyle w:val="BodyText2"/>
        <w:tabs>
          <w:tab w:val="clear" w:pos="-1080"/>
          <w:tab w:val="clear" w:pos="-720"/>
          <w:tab w:val="clear" w:pos="0"/>
          <w:tab w:val="clear" w:pos="360"/>
        </w:tabs>
        <w:rPr>
          <w:sz w:val="24"/>
        </w:rPr>
      </w:pPr>
    </w:p>
    <w:p w:rsidR="008A343B" w:rsidRPr="003F0A99" w:rsidRDefault="005A4DF6" w:rsidP="007640CC">
      <w:pPr>
        <w:numPr>
          <w:ilvl w:val="0"/>
          <w:numId w:val="2"/>
        </w:numPr>
        <w:ind w:left="360"/>
        <w:jc w:val="both"/>
      </w:pPr>
      <w:r w:rsidRPr="003F0A99">
        <w:rPr>
          <w:b/>
          <w:bCs/>
        </w:rPr>
        <w:t xml:space="preserve">The grease trap for this facility shall be cleaned at least every </w:t>
      </w:r>
      <w:r w:rsidR="00433863">
        <w:rPr>
          <w:b/>
          <w:bCs/>
        </w:rPr>
        <w:t>six</w:t>
      </w:r>
      <w:r w:rsidRPr="003F0A99">
        <w:rPr>
          <w:b/>
          <w:bCs/>
        </w:rPr>
        <w:t xml:space="preserve"> (</w:t>
      </w:r>
      <w:r w:rsidR="00433863">
        <w:rPr>
          <w:b/>
          <w:bCs/>
        </w:rPr>
        <w:t>6</w:t>
      </w:r>
      <w:r w:rsidRPr="003F0A99">
        <w:rPr>
          <w:b/>
          <w:bCs/>
        </w:rPr>
        <w:t>) months</w:t>
      </w:r>
      <w:r w:rsidRPr="003F0A99">
        <w:t xml:space="preserve">. </w:t>
      </w:r>
      <w:r w:rsidR="0085097A" w:rsidRPr="000551B2">
        <w:t>Copies of</w:t>
      </w:r>
      <w:r w:rsidR="0085097A" w:rsidRPr="0085097A">
        <w:t xml:space="preserve"> </w:t>
      </w:r>
      <w:r w:rsidR="0085097A" w:rsidRPr="003F0A99">
        <w:t>grease trap cleaning records</w:t>
      </w:r>
      <w:r w:rsidR="0085097A" w:rsidRPr="000551B2">
        <w:t xml:space="preserve"> shall be submitted with t</w:t>
      </w:r>
      <w:r w:rsidR="0085097A">
        <w:t xml:space="preserve">he required quarterly reports.  </w:t>
      </w:r>
      <w:r w:rsidR="008A343B" w:rsidRPr="003F0A99">
        <w:t xml:space="preserve">All off-site waste disposal documentation must contain the required information as listed under Periodic Compliance Reports, </w:t>
      </w:r>
      <w:r w:rsidR="00C82250" w:rsidRPr="006B7418">
        <w:rPr>
          <w:i/>
        </w:rPr>
        <w:t>S</w:t>
      </w:r>
      <w:r w:rsidR="00C82250">
        <w:rPr>
          <w:i/>
        </w:rPr>
        <w:t>ECTION</w:t>
      </w:r>
      <w:r w:rsidR="00C82250" w:rsidRPr="006B7418">
        <w:rPr>
          <w:i/>
        </w:rPr>
        <w:t xml:space="preserve"> III</w:t>
      </w:r>
      <w:r w:rsidR="00C82250" w:rsidRPr="003F0A99">
        <w:t xml:space="preserve"> </w:t>
      </w:r>
      <w:r w:rsidR="008A343B" w:rsidRPr="003F0A99">
        <w:t>of this permit, including the date of disposal, the hauler, the amount of waste</w:t>
      </w:r>
      <w:r w:rsidRPr="003F0A99">
        <w:t>,</w:t>
      </w:r>
      <w:r w:rsidR="008A343B" w:rsidRPr="003F0A99">
        <w:t xml:space="preserve"> and the disposal site</w:t>
      </w:r>
      <w:r w:rsidR="009E38BF">
        <w:t>.</w:t>
      </w:r>
      <w:r w:rsidR="009E38BF">
        <w:rPr>
          <w:sz w:val="22"/>
          <w:szCs w:val="22"/>
        </w:rPr>
        <w:t xml:space="preserve">  </w:t>
      </w:r>
      <w:r w:rsidR="009E38BF">
        <w:t>If no waste disposal is required during the reporting period, then the permit holder shall certify in writing that no off-site waste disposal was necessary.</w:t>
      </w:r>
    </w:p>
    <w:p w:rsidR="008A343B" w:rsidRPr="003F0A99" w:rsidRDefault="008A343B" w:rsidP="007640CC">
      <w:pPr>
        <w:jc w:val="both"/>
      </w:pPr>
    </w:p>
    <w:p w:rsidR="005A4DF6" w:rsidRPr="003F0A99" w:rsidRDefault="005A4DF6" w:rsidP="005A4DF6">
      <w:pPr>
        <w:numPr>
          <w:ilvl w:val="0"/>
          <w:numId w:val="2"/>
        </w:numPr>
        <w:ind w:left="360"/>
        <w:jc w:val="both"/>
      </w:pPr>
      <w:r w:rsidRPr="003F0A99">
        <w:t>Quarterly water usage may be estimated from water billing data.</w:t>
      </w:r>
    </w:p>
    <w:p w:rsidR="00F32629" w:rsidRPr="003F0A99" w:rsidRDefault="00F32629" w:rsidP="00F32629">
      <w:pPr>
        <w:ind w:left="360"/>
        <w:jc w:val="both"/>
        <w:rPr>
          <w:bCs/>
        </w:rPr>
      </w:pPr>
    </w:p>
    <w:p w:rsidR="008A343B" w:rsidRPr="003F0A99" w:rsidRDefault="008A343B" w:rsidP="007640CC">
      <w:pPr>
        <w:numPr>
          <w:ilvl w:val="0"/>
          <w:numId w:val="2"/>
        </w:numPr>
        <w:ind w:left="360"/>
        <w:jc w:val="both"/>
        <w:rPr>
          <w:bCs/>
        </w:rPr>
      </w:pPr>
      <w:r w:rsidRPr="003F0A99">
        <w:rPr>
          <w:bCs/>
        </w:rPr>
        <w:t>If monitoring analysis indicates that slug loads of BOD</w:t>
      </w:r>
      <w:r w:rsidR="005C7FFD" w:rsidRPr="005C7FFD">
        <w:rPr>
          <w:bCs/>
          <w:vertAlign w:val="subscript"/>
        </w:rPr>
        <w:t>5</w:t>
      </w:r>
      <w:r w:rsidRPr="003F0A99">
        <w:rPr>
          <w:bCs/>
        </w:rPr>
        <w:t>, TSS, and/or Oil and Grease are discharged,</w:t>
      </w:r>
      <w:r w:rsidR="00F32629" w:rsidRPr="003F0A99">
        <w:rPr>
          <w:bCs/>
        </w:rPr>
        <w:t xml:space="preserve"> </w:t>
      </w:r>
      <w:r w:rsidRPr="003F0A99">
        <w:rPr>
          <w:bCs/>
        </w:rPr>
        <w:t>the frequency of monitoring shall be automatically increased as needed.</w:t>
      </w:r>
    </w:p>
    <w:p w:rsidR="008A343B" w:rsidRPr="003F0A99" w:rsidRDefault="008A343B" w:rsidP="007640CC">
      <w:pPr>
        <w:ind w:left="-108" w:right="-108"/>
        <w:jc w:val="both"/>
      </w:pPr>
    </w:p>
    <w:p w:rsidR="007640CC" w:rsidRPr="003F0A99" w:rsidRDefault="0085097A" w:rsidP="007640CC">
      <w:pPr>
        <w:numPr>
          <w:ilvl w:val="0"/>
          <w:numId w:val="2"/>
        </w:numPr>
        <w:ind w:left="360"/>
        <w:jc w:val="both"/>
        <w:rPr>
          <w:bCs/>
          <w:sz w:val="22"/>
          <w:szCs w:val="22"/>
          <w:u w:val="single"/>
        </w:rPr>
      </w:pPr>
      <w:r>
        <w:t xml:space="preserve">Reports are due no later than the 15th day of the month following the end of the reporting period. </w:t>
      </w:r>
      <w:r w:rsidR="008A343B" w:rsidRPr="003F0A99">
        <w:rPr>
          <w:bCs/>
          <w:u w:val="single"/>
        </w:rPr>
        <w:t>Failure to submit quarterly reports and monitoring data as required will result in automatic fines of not less than $50.00 per day for every day that reports are late.</w:t>
      </w:r>
    </w:p>
    <w:p w:rsidR="00686721" w:rsidRPr="00F77350" w:rsidRDefault="00686721" w:rsidP="00686721">
      <w:pPr>
        <w:rPr>
          <w:sz w:val="72"/>
          <w:szCs w:val="72"/>
        </w:rPr>
      </w:pPr>
    </w:p>
    <w:p w:rsidR="004F477C" w:rsidRDefault="004F477C" w:rsidP="004F477C">
      <w:pPr>
        <w:pStyle w:val="Heading5"/>
        <w:rPr>
          <w:b w:val="0"/>
          <w:bCs w:val="0"/>
          <w:i w:val="0"/>
          <w:iCs w:val="0"/>
          <w:sz w:val="24"/>
        </w:rPr>
      </w:pPr>
    </w:p>
    <w:p w:rsidR="004F477C" w:rsidRDefault="004F477C" w:rsidP="004F477C">
      <w:pPr>
        <w:pStyle w:val="Heading5"/>
      </w:pPr>
      <w:r>
        <w:t>SECTION II</w:t>
      </w:r>
    </w:p>
    <w:tbl>
      <w:tblPr>
        <w:tblW w:w="9630" w:type="dxa"/>
        <w:tblInd w:w="18" w:type="dxa"/>
        <w:tblLayout w:type="fixed"/>
        <w:tblLook w:val="0000"/>
      </w:tblPr>
      <w:tblGrid>
        <w:gridCol w:w="1890"/>
        <w:gridCol w:w="2340"/>
        <w:gridCol w:w="3946"/>
        <w:gridCol w:w="1454"/>
      </w:tblGrid>
      <w:tr w:rsidR="004F477C" w:rsidTr="006F02C3">
        <w:tblPrEx>
          <w:tblCellMar>
            <w:top w:w="0" w:type="dxa"/>
            <w:bottom w:w="0" w:type="dxa"/>
          </w:tblCellMar>
        </w:tblPrEx>
        <w:trPr>
          <w:cantSplit/>
          <w:trHeight w:val="990"/>
        </w:trPr>
        <w:tc>
          <w:tcPr>
            <w:tcW w:w="9630" w:type="dxa"/>
            <w:gridSpan w:val="4"/>
            <w:tcBorders>
              <w:bottom w:val="single" w:sz="4" w:space="0" w:color="auto"/>
            </w:tcBorders>
            <w:vAlign w:val="center"/>
          </w:tcPr>
          <w:p w:rsidR="004F477C" w:rsidRDefault="004F477C" w:rsidP="006F02C3">
            <w:pPr>
              <w:pStyle w:val="Heading2"/>
              <w:tabs>
                <w:tab w:val="clear" w:pos="360"/>
                <w:tab w:val="clear" w:pos="960"/>
                <w:tab w:val="clear" w:pos="1560"/>
                <w:tab w:val="clear" w:pos="4800"/>
              </w:tabs>
              <w:rPr>
                <w:b w:val="0"/>
                <w:i w:val="0"/>
              </w:rPr>
            </w:pPr>
          </w:p>
          <w:p w:rsidR="004F477C" w:rsidRDefault="004F477C" w:rsidP="006F02C3">
            <w:pPr>
              <w:pStyle w:val="Heading2"/>
              <w:tabs>
                <w:tab w:val="clear" w:pos="360"/>
                <w:tab w:val="clear" w:pos="960"/>
                <w:tab w:val="clear" w:pos="1560"/>
                <w:tab w:val="clear" w:pos="4800"/>
              </w:tabs>
              <w:rPr>
                <w:b w:val="0"/>
                <w:i w:val="0"/>
              </w:rPr>
            </w:pPr>
            <w:r>
              <w:rPr>
                <w:u w:val="single"/>
              </w:rPr>
              <w:t>Wastewater discharge shall be monitored in accordance with the frequencies and limitations listed below.</w:t>
            </w:r>
          </w:p>
          <w:p w:rsidR="004F477C" w:rsidRPr="00737156" w:rsidRDefault="004F477C" w:rsidP="006F02C3">
            <w:pPr>
              <w:rPr>
                <w:sz w:val="20"/>
                <w:szCs w:val="20"/>
              </w:rPr>
            </w:pPr>
          </w:p>
        </w:tc>
      </w:tr>
      <w:tr w:rsidR="004F477C" w:rsidTr="006F02C3">
        <w:tblPrEx>
          <w:tblCellMar>
            <w:top w:w="0" w:type="dxa"/>
            <w:bottom w:w="0" w:type="dxa"/>
          </w:tblCellMar>
        </w:tblPrEx>
        <w:trPr>
          <w:cantSplit/>
          <w:trHeight w:val="540"/>
        </w:trPr>
        <w:tc>
          <w:tcPr>
            <w:tcW w:w="9630" w:type="dxa"/>
            <w:gridSpan w:val="4"/>
            <w:tcBorders>
              <w:top w:val="single" w:sz="4" w:space="0" w:color="auto"/>
              <w:left w:val="single" w:sz="4" w:space="0" w:color="auto"/>
              <w:bottom w:val="single" w:sz="4" w:space="0" w:color="auto"/>
              <w:right w:val="single" w:sz="4" w:space="0" w:color="auto"/>
            </w:tcBorders>
            <w:vAlign w:val="center"/>
          </w:tcPr>
          <w:p w:rsidR="004F477C" w:rsidRDefault="004F477C" w:rsidP="006F02C3">
            <w:pPr>
              <w:pStyle w:val="Heading2"/>
              <w:tabs>
                <w:tab w:val="clear" w:pos="360"/>
                <w:tab w:val="clear" w:pos="960"/>
                <w:tab w:val="clear" w:pos="1560"/>
                <w:tab w:val="clear" w:pos="4800"/>
              </w:tabs>
              <w:jc w:val="center"/>
              <w:rPr>
                <w:sz w:val="22"/>
              </w:rPr>
            </w:pPr>
            <w:r>
              <w:t>EFFLUENT LIMITATIONS</w:t>
            </w:r>
          </w:p>
        </w:tc>
      </w:tr>
      <w:tr w:rsidR="004F477C" w:rsidTr="006F02C3">
        <w:tblPrEx>
          <w:tblCellMar>
            <w:top w:w="0" w:type="dxa"/>
            <w:bottom w:w="0" w:type="dxa"/>
          </w:tblCellMar>
        </w:tblPrEx>
        <w:trPr>
          <w:cantSplit/>
          <w:trHeight w:val="638"/>
        </w:trPr>
        <w:tc>
          <w:tcPr>
            <w:tcW w:w="1890" w:type="dxa"/>
            <w:tcBorders>
              <w:top w:val="single" w:sz="4" w:space="0" w:color="auto"/>
              <w:left w:val="single" w:sz="4" w:space="0" w:color="auto"/>
              <w:bottom w:val="single" w:sz="4" w:space="0" w:color="auto"/>
              <w:right w:val="single" w:sz="4" w:space="0" w:color="auto"/>
            </w:tcBorders>
            <w:vAlign w:val="center"/>
          </w:tcPr>
          <w:p w:rsidR="004F477C" w:rsidRDefault="004F477C" w:rsidP="006F02C3">
            <w:pPr>
              <w:jc w:val="center"/>
              <w:rPr>
                <w:b/>
                <w:bCs/>
                <w:sz w:val="20"/>
              </w:rPr>
            </w:pPr>
            <w:r>
              <w:rPr>
                <w:b/>
                <w:bCs/>
                <w:sz w:val="20"/>
              </w:rPr>
              <w:t>CONSTITUENT</w:t>
            </w:r>
          </w:p>
        </w:tc>
        <w:tc>
          <w:tcPr>
            <w:tcW w:w="2340" w:type="dxa"/>
            <w:tcBorders>
              <w:top w:val="single" w:sz="4" w:space="0" w:color="auto"/>
              <w:left w:val="single" w:sz="4" w:space="0" w:color="auto"/>
              <w:bottom w:val="single" w:sz="4" w:space="0" w:color="auto"/>
              <w:right w:val="single" w:sz="4" w:space="0" w:color="auto"/>
            </w:tcBorders>
            <w:vAlign w:val="center"/>
          </w:tcPr>
          <w:p w:rsidR="004F477C" w:rsidRDefault="004F477C" w:rsidP="006F02C3">
            <w:pPr>
              <w:jc w:val="center"/>
              <w:rPr>
                <w:b/>
                <w:bCs/>
                <w:sz w:val="20"/>
              </w:rPr>
            </w:pPr>
            <w:r>
              <w:rPr>
                <w:b/>
                <w:bCs/>
                <w:sz w:val="20"/>
              </w:rPr>
              <w:t xml:space="preserve">DAILY MAXIMUM </w:t>
            </w:r>
          </w:p>
          <w:p w:rsidR="004F477C" w:rsidRDefault="004F477C" w:rsidP="006F02C3">
            <w:pPr>
              <w:jc w:val="center"/>
              <w:rPr>
                <w:b/>
                <w:bCs/>
                <w:sz w:val="20"/>
              </w:rPr>
            </w:pPr>
            <w:r>
              <w:rPr>
                <w:b/>
                <w:bCs/>
                <w:sz w:val="20"/>
              </w:rPr>
              <w:t>LIMITATION</w:t>
            </w:r>
          </w:p>
        </w:tc>
        <w:tc>
          <w:tcPr>
            <w:tcW w:w="3946" w:type="dxa"/>
            <w:tcBorders>
              <w:top w:val="single" w:sz="4" w:space="0" w:color="auto"/>
              <w:left w:val="single" w:sz="4" w:space="0" w:color="auto"/>
              <w:bottom w:val="single" w:sz="4" w:space="0" w:color="auto"/>
              <w:right w:val="single" w:sz="4" w:space="0" w:color="auto"/>
            </w:tcBorders>
            <w:vAlign w:val="center"/>
          </w:tcPr>
          <w:p w:rsidR="004F477C" w:rsidRDefault="004F477C" w:rsidP="006F02C3">
            <w:pPr>
              <w:jc w:val="center"/>
              <w:rPr>
                <w:b/>
                <w:bCs/>
                <w:sz w:val="20"/>
              </w:rPr>
            </w:pPr>
            <w:r>
              <w:rPr>
                <w:b/>
                <w:bCs/>
                <w:sz w:val="20"/>
                <w:vertAlign w:val="superscript"/>
              </w:rPr>
              <w:t xml:space="preserve">1 </w:t>
            </w:r>
            <w:r>
              <w:rPr>
                <w:b/>
                <w:bCs/>
                <w:sz w:val="20"/>
              </w:rPr>
              <w:t>SELF-MONITORING FREQUENCY</w:t>
            </w:r>
          </w:p>
        </w:tc>
        <w:tc>
          <w:tcPr>
            <w:tcW w:w="1454" w:type="dxa"/>
            <w:tcBorders>
              <w:top w:val="single" w:sz="4" w:space="0" w:color="auto"/>
              <w:left w:val="single" w:sz="4" w:space="0" w:color="auto"/>
              <w:bottom w:val="single" w:sz="4" w:space="0" w:color="auto"/>
              <w:right w:val="single" w:sz="4" w:space="0" w:color="auto"/>
            </w:tcBorders>
            <w:vAlign w:val="center"/>
          </w:tcPr>
          <w:p w:rsidR="004F477C" w:rsidRDefault="004F477C" w:rsidP="006F02C3">
            <w:pPr>
              <w:jc w:val="center"/>
              <w:rPr>
                <w:b/>
                <w:bCs/>
                <w:sz w:val="20"/>
              </w:rPr>
            </w:pPr>
            <w:r>
              <w:rPr>
                <w:b/>
                <w:bCs/>
                <w:sz w:val="20"/>
                <w:vertAlign w:val="superscript"/>
              </w:rPr>
              <w:t>2</w:t>
            </w:r>
            <w:r>
              <w:rPr>
                <w:b/>
                <w:bCs/>
                <w:sz w:val="20"/>
              </w:rPr>
              <w:t>SAMPLE TYPE</w:t>
            </w:r>
          </w:p>
        </w:tc>
      </w:tr>
      <w:tr w:rsidR="004F477C" w:rsidRPr="003D0150" w:rsidTr="006F02C3">
        <w:tblPrEx>
          <w:tblCellMar>
            <w:top w:w="0" w:type="dxa"/>
            <w:bottom w:w="0" w:type="dxa"/>
          </w:tblCellMar>
        </w:tblPrEx>
        <w:trPr>
          <w:cantSplit/>
          <w:trHeight w:hRule="exact" w:val="460"/>
        </w:trPr>
        <w:tc>
          <w:tcPr>
            <w:tcW w:w="189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rPr>
                <w:sz w:val="20"/>
                <w:szCs w:val="20"/>
              </w:rPr>
            </w:pPr>
            <w:r w:rsidRPr="003D0150">
              <w:rPr>
                <w:sz w:val="20"/>
                <w:szCs w:val="20"/>
                <w:vertAlign w:val="superscript"/>
              </w:rPr>
              <w:t xml:space="preserve">3 </w:t>
            </w:r>
            <w:r w:rsidRPr="003D0150">
              <w:rPr>
                <w:sz w:val="20"/>
                <w:szCs w:val="20"/>
              </w:rPr>
              <w:t>Flow</w:t>
            </w:r>
          </w:p>
        </w:tc>
        <w:tc>
          <w:tcPr>
            <w:tcW w:w="234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Monitoring without limitations</w:t>
            </w:r>
          </w:p>
        </w:tc>
        <w:tc>
          <w:tcPr>
            <w:tcW w:w="3946"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Continuous</w:t>
            </w:r>
          </w:p>
        </w:tc>
        <w:tc>
          <w:tcPr>
            <w:tcW w:w="1454"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Pr>
                <w:sz w:val="20"/>
              </w:rPr>
              <w:t>Estimated</w:t>
            </w:r>
          </w:p>
        </w:tc>
      </w:tr>
      <w:tr w:rsidR="004F477C" w:rsidRPr="003D0150" w:rsidTr="006F02C3">
        <w:tblPrEx>
          <w:tblCellMar>
            <w:top w:w="0" w:type="dxa"/>
            <w:bottom w:w="0" w:type="dxa"/>
          </w:tblCellMar>
        </w:tblPrEx>
        <w:trPr>
          <w:cantSplit/>
          <w:trHeight w:hRule="exact" w:val="532"/>
        </w:trPr>
        <w:tc>
          <w:tcPr>
            <w:tcW w:w="189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rPr>
                <w:sz w:val="20"/>
                <w:szCs w:val="20"/>
                <w:vertAlign w:val="subscript"/>
              </w:rPr>
            </w:pPr>
            <w:r w:rsidRPr="003D0150">
              <w:rPr>
                <w:sz w:val="20"/>
                <w:szCs w:val="20"/>
                <w:vertAlign w:val="superscript"/>
              </w:rPr>
              <w:t xml:space="preserve">4 </w:t>
            </w:r>
            <w:r w:rsidRPr="003D0150">
              <w:rPr>
                <w:sz w:val="20"/>
                <w:szCs w:val="20"/>
              </w:rPr>
              <w:t>BOD</w:t>
            </w:r>
            <w:r w:rsidRPr="003D0150">
              <w:rPr>
                <w:sz w:val="20"/>
                <w:szCs w:val="20"/>
                <w:vertAlign w:val="subscript"/>
              </w:rPr>
              <w:t>5</w:t>
            </w:r>
          </w:p>
        </w:tc>
        <w:tc>
          <w:tcPr>
            <w:tcW w:w="234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600 mg/l</w:t>
            </w:r>
          </w:p>
        </w:tc>
        <w:tc>
          <w:tcPr>
            <w:tcW w:w="3946" w:type="dxa"/>
            <w:tcBorders>
              <w:top w:val="single" w:sz="4" w:space="0" w:color="auto"/>
              <w:left w:val="single" w:sz="4" w:space="0" w:color="auto"/>
              <w:bottom w:val="single" w:sz="4" w:space="0" w:color="auto"/>
              <w:right w:val="single" w:sz="4" w:space="0" w:color="auto"/>
            </w:tcBorders>
            <w:vAlign w:val="center"/>
          </w:tcPr>
          <w:p w:rsidR="002B4DED" w:rsidRDefault="002B4DED" w:rsidP="002B4DED">
            <w:pPr>
              <w:jc w:val="center"/>
              <w:rPr>
                <w:sz w:val="20"/>
                <w:szCs w:val="20"/>
              </w:rPr>
            </w:pPr>
            <w:r w:rsidRPr="00452BAA">
              <w:rPr>
                <w:sz w:val="20"/>
                <w:szCs w:val="20"/>
              </w:rPr>
              <w:t xml:space="preserve">2 consecutive days: </w:t>
            </w:r>
            <w:r>
              <w:rPr>
                <w:sz w:val="20"/>
                <w:szCs w:val="20"/>
              </w:rPr>
              <w:t>quarterly</w:t>
            </w:r>
          </w:p>
          <w:p w:rsidR="004F477C" w:rsidRPr="00452BAA" w:rsidRDefault="002B4DED" w:rsidP="002B4DED">
            <w:pPr>
              <w:jc w:val="center"/>
              <w:rPr>
                <w:sz w:val="20"/>
                <w:szCs w:val="20"/>
              </w:rPr>
            </w:pPr>
            <w:r w:rsidRPr="00452BAA">
              <w:rPr>
                <w:sz w:val="20"/>
                <w:szCs w:val="20"/>
              </w:rPr>
              <w:t xml:space="preserve"> </w:t>
            </w:r>
            <w:r>
              <w:rPr>
                <w:sz w:val="20"/>
                <w:szCs w:val="20"/>
              </w:rPr>
              <w:t>(</w:t>
            </w:r>
            <w:r w:rsidRPr="00452BAA">
              <w:rPr>
                <w:sz w:val="20"/>
                <w:szCs w:val="20"/>
              </w:rPr>
              <w:t>Jan</w:t>
            </w:r>
            <w:r>
              <w:rPr>
                <w:sz w:val="20"/>
                <w:szCs w:val="20"/>
              </w:rPr>
              <w:t>.-Feb./April-May/July-Aug./Oct.-Nov.)</w:t>
            </w:r>
          </w:p>
        </w:tc>
        <w:tc>
          <w:tcPr>
            <w:tcW w:w="1454"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Composite</w:t>
            </w:r>
          </w:p>
        </w:tc>
      </w:tr>
      <w:tr w:rsidR="004F477C" w:rsidRPr="003D0150" w:rsidTr="006F02C3">
        <w:tblPrEx>
          <w:tblCellMar>
            <w:top w:w="0" w:type="dxa"/>
            <w:bottom w:w="0" w:type="dxa"/>
          </w:tblCellMar>
        </w:tblPrEx>
        <w:trPr>
          <w:cantSplit/>
          <w:trHeight w:hRule="exact" w:val="523"/>
        </w:trPr>
        <w:tc>
          <w:tcPr>
            <w:tcW w:w="189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rPr>
                <w:sz w:val="20"/>
                <w:szCs w:val="20"/>
              </w:rPr>
            </w:pPr>
            <w:r w:rsidRPr="003D0150">
              <w:rPr>
                <w:sz w:val="20"/>
                <w:szCs w:val="20"/>
                <w:vertAlign w:val="superscript"/>
              </w:rPr>
              <w:t xml:space="preserve">4 </w:t>
            </w:r>
            <w:r w:rsidRPr="003D0150">
              <w:rPr>
                <w:sz w:val="20"/>
                <w:szCs w:val="20"/>
              </w:rPr>
              <w:t>TSS</w:t>
            </w:r>
          </w:p>
        </w:tc>
        <w:tc>
          <w:tcPr>
            <w:tcW w:w="234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600 mg/l</w:t>
            </w:r>
          </w:p>
        </w:tc>
        <w:tc>
          <w:tcPr>
            <w:tcW w:w="3946" w:type="dxa"/>
            <w:tcBorders>
              <w:top w:val="single" w:sz="4" w:space="0" w:color="auto"/>
              <w:left w:val="single" w:sz="4" w:space="0" w:color="auto"/>
              <w:bottom w:val="single" w:sz="4" w:space="0" w:color="auto"/>
              <w:right w:val="single" w:sz="4" w:space="0" w:color="auto"/>
            </w:tcBorders>
            <w:vAlign w:val="center"/>
          </w:tcPr>
          <w:p w:rsidR="002B4DED" w:rsidRDefault="002B4DED" w:rsidP="002B4DED">
            <w:pPr>
              <w:jc w:val="center"/>
              <w:rPr>
                <w:sz w:val="20"/>
                <w:szCs w:val="20"/>
              </w:rPr>
            </w:pPr>
            <w:r w:rsidRPr="00452BAA">
              <w:rPr>
                <w:sz w:val="20"/>
                <w:szCs w:val="20"/>
              </w:rPr>
              <w:t xml:space="preserve">2 consecutive days: </w:t>
            </w:r>
            <w:r>
              <w:rPr>
                <w:sz w:val="20"/>
                <w:szCs w:val="20"/>
              </w:rPr>
              <w:t>quarterly</w:t>
            </w:r>
          </w:p>
          <w:p w:rsidR="004F477C" w:rsidRPr="00452BAA" w:rsidRDefault="002B4DED" w:rsidP="002B4DED">
            <w:pPr>
              <w:jc w:val="center"/>
              <w:rPr>
                <w:sz w:val="20"/>
                <w:szCs w:val="20"/>
              </w:rPr>
            </w:pPr>
            <w:r w:rsidRPr="00452BAA">
              <w:rPr>
                <w:sz w:val="20"/>
                <w:szCs w:val="20"/>
              </w:rPr>
              <w:t xml:space="preserve"> </w:t>
            </w:r>
            <w:r>
              <w:rPr>
                <w:sz w:val="20"/>
                <w:szCs w:val="20"/>
              </w:rPr>
              <w:t>(</w:t>
            </w:r>
            <w:r w:rsidRPr="00452BAA">
              <w:rPr>
                <w:sz w:val="20"/>
                <w:szCs w:val="20"/>
              </w:rPr>
              <w:t>Jan</w:t>
            </w:r>
            <w:r>
              <w:rPr>
                <w:sz w:val="20"/>
                <w:szCs w:val="20"/>
              </w:rPr>
              <w:t>.-Feb./April-May/July-Aug./Oct.-Nov.)</w:t>
            </w:r>
          </w:p>
        </w:tc>
        <w:tc>
          <w:tcPr>
            <w:tcW w:w="1454"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Composite</w:t>
            </w:r>
          </w:p>
        </w:tc>
      </w:tr>
      <w:tr w:rsidR="004F477C" w:rsidRPr="003D0150" w:rsidTr="006F02C3">
        <w:tblPrEx>
          <w:tblCellMar>
            <w:top w:w="0" w:type="dxa"/>
            <w:bottom w:w="0" w:type="dxa"/>
          </w:tblCellMar>
        </w:tblPrEx>
        <w:trPr>
          <w:cantSplit/>
          <w:trHeight w:hRule="exact" w:val="523"/>
        </w:trPr>
        <w:tc>
          <w:tcPr>
            <w:tcW w:w="189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rPr>
                <w:sz w:val="20"/>
                <w:szCs w:val="20"/>
              </w:rPr>
            </w:pPr>
            <w:r w:rsidRPr="003D0150">
              <w:rPr>
                <w:sz w:val="20"/>
                <w:szCs w:val="20"/>
                <w:vertAlign w:val="superscript"/>
              </w:rPr>
              <w:t xml:space="preserve">5 </w:t>
            </w:r>
            <w:r w:rsidRPr="003D0150">
              <w:rPr>
                <w:sz w:val="20"/>
                <w:szCs w:val="20"/>
              </w:rPr>
              <w:t xml:space="preserve">pH </w:t>
            </w:r>
          </w:p>
        </w:tc>
        <w:tc>
          <w:tcPr>
            <w:tcW w:w="234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Not &lt; 5.0 or &gt; 12.0</w:t>
            </w:r>
          </w:p>
        </w:tc>
        <w:tc>
          <w:tcPr>
            <w:tcW w:w="3946" w:type="dxa"/>
            <w:tcBorders>
              <w:top w:val="single" w:sz="4" w:space="0" w:color="auto"/>
              <w:left w:val="single" w:sz="4" w:space="0" w:color="auto"/>
              <w:bottom w:val="single" w:sz="4" w:space="0" w:color="auto"/>
              <w:right w:val="single" w:sz="4" w:space="0" w:color="auto"/>
            </w:tcBorders>
            <w:vAlign w:val="center"/>
          </w:tcPr>
          <w:p w:rsidR="002B4DED" w:rsidRDefault="002B4DED" w:rsidP="002B4DED">
            <w:pPr>
              <w:jc w:val="center"/>
              <w:rPr>
                <w:sz w:val="20"/>
                <w:szCs w:val="20"/>
              </w:rPr>
            </w:pPr>
            <w:r w:rsidRPr="00452BAA">
              <w:rPr>
                <w:sz w:val="20"/>
                <w:szCs w:val="20"/>
              </w:rPr>
              <w:t xml:space="preserve">2 consecutive days: </w:t>
            </w:r>
            <w:r>
              <w:rPr>
                <w:sz w:val="20"/>
                <w:szCs w:val="20"/>
              </w:rPr>
              <w:t>quarterly</w:t>
            </w:r>
          </w:p>
          <w:p w:rsidR="004F477C" w:rsidRPr="00452BAA" w:rsidRDefault="002B4DED" w:rsidP="002B4DED">
            <w:pPr>
              <w:jc w:val="center"/>
              <w:rPr>
                <w:sz w:val="20"/>
                <w:szCs w:val="20"/>
              </w:rPr>
            </w:pPr>
            <w:r w:rsidRPr="00452BAA">
              <w:rPr>
                <w:sz w:val="20"/>
                <w:szCs w:val="20"/>
              </w:rPr>
              <w:t xml:space="preserve"> </w:t>
            </w:r>
            <w:r>
              <w:rPr>
                <w:sz w:val="20"/>
                <w:szCs w:val="20"/>
              </w:rPr>
              <w:t>(</w:t>
            </w:r>
            <w:r w:rsidRPr="00452BAA">
              <w:rPr>
                <w:sz w:val="20"/>
                <w:szCs w:val="20"/>
              </w:rPr>
              <w:t>Jan</w:t>
            </w:r>
            <w:r>
              <w:rPr>
                <w:sz w:val="20"/>
                <w:szCs w:val="20"/>
              </w:rPr>
              <w:t>.-Feb./April-May/July-Aug./Oct.-Nov.)</w:t>
            </w:r>
          </w:p>
        </w:tc>
        <w:tc>
          <w:tcPr>
            <w:tcW w:w="1454"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Grab</w:t>
            </w:r>
          </w:p>
        </w:tc>
      </w:tr>
      <w:tr w:rsidR="004F477C" w:rsidRPr="003D0150" w:rsidTr="006F02C3">
        <w:tblPrEx>
          <w:tblCellMar>
            <w:top w:w="0" w:type="dxa"/>
            <w:bottom w:w="0" w:type="dxa"/>
          </w:tblCellMar>
        </w:tblPrEx>
        <w:trPr>
          <w:cantSplit/>
          <w:trHeight w:hRule="exact" w:val="532"/>
        </w:trPr>
        <w:tc>
          <w:tcPr>
            <w:tcW w:w="189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rPr>
                <w:sz w:val="20"/>
                <w:szCs w:val="20"/>
              </w:rPr>
            </w:pPr>
            <w:r w:rsidRPr="00737156">
              <w:rPr>
                <w:sz w:val="20"/>
                <w:szCs w:val="20"/>
                <w:vertAlign w:val="superscript"/>
              </w:rPr>
              <w:t>6</w:t>
            </w:r>
            <w:r w:rsidRPr="003D0150">
              <w:rPr>
                <w:sz w:val="20"/>
                <w:szCs w:val="20"/>
              </w:rPr>
              <w:t>Fats, Oil, &amp; Grease</w:t>
            </w:r>
          </w:p>
        </w:tc>
        <w:tc>
          <w:tcPr>
            <w:tcW w:w="2340"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250 mg/l</w:t>
            </w:r>
          </w:p>
        </w:tc>
        <w:tc>
          <w:tcPr>
            <w:tcW w:w="3946" w:type="dxa"/>
            <w:tcBorders>
              <w:top w:val="single" w:sz="4" w:space="0" w:color="auto"/>
              <w:left w:val="single" w:sz="4" w:space="0" w:color="auto"/>
              <w:bottom w:val="single" w:sz="4" w:space="0" w:color="auto"/>
              <w:right w:val="single" w:sz="4" w:space="0" w:color="auto"/>
            </w:tcBorders>
            <w:vAlign w:val="center"/>
          </w:tcPr>
          <w:p w:rsidR="002B4DED" w:rsidRDefault="002B4DED" w:rsidP="002B4DED">
            <w:pPr>
              <w:jc w:val="center"/>
              <w:rPr>
                <w:sz w:val="20"/>
                <w:szCs w:val="20"/>
              </w:rPr>
            </w:pPr>
            <w:r w:rsidRPr="00452BAA">
              <w:rPr>
                <w:sz w:val="20"/>
                <w:szCs w:val="20"/>
              </w:rPr>
              <w:t xml:space="preserve">2 consecutive days: </w:t>
            </w:r>
            <w:r>
              <w:rPr>
                <w:sz w:val="20"/>
                <w:szCs w:val="20"/>
              </w:rPr>
              <w:t>quarterly</w:t>
            </w:r>
          </w:p>
          <w:p w:rsidR="004F477C" w:rsidRPr="003D0150" w:rsidRDefault="002B4DED" w:rsidP="002B4DED">
            <w:pPr>
              <w:jc w:val="center"/>
              <w:rPr>
                <w:sz w:val="20"/>
                <w:szCs w:val="20"/>
              </w:rPr>
            </w:pPr>
            <w:r w:rsidRPr="00452BAA">
              <w:rPr>
                <w:sz w:val="20"/>
                <w:szCs w:val="20"/>
              </w:rPr>
              <w:t xml:space="preserve"> </w:t>
            </w:r>
            <w:r>
              <w:rPr>
                <w:sz w:val="20"/>
                <w:szCs w:val="20"/>
              </w:rPr>
              <w:t>(</w:t>
            </w:r>
            <w:r w:rsidRPr="00452BAA">
              <w:rPr>
                <w:sz w:val="20"/>
                <w:szCs w:val="20"/>
              </w:rPr>
              <w:t>Jan</w:t>
            </w:r>
            <w:r>
              <w:rPr>
                <w:sz w:val="20"/>
                <w:szCs w:val="20"/>
              </w:rPr>
              <w:t>.-Feb./April-May/July-Aug./Oct.-Nov.)</w:t>
            </w:r>
          </w:p>
        </w:tc>
        <w:tc>
          <w:tcPr>
            <w:tcW w:w="1454" w:type="dxa"/>
            <w:tcBorders>
              <w:top w:val="single" w:sz="4" w:space="0" w:color="auto"/>
              <w:left w:val="single" w:sz="4" w:space="0" w:color="auto"/>
              <w:bottom w:val="single" w:sz="4" w:space="0" w:color="auto"/>
              <w:right w:val="single" w:sz="4" w:space="0" w:color="auto"/>
            </w:tcBorders>
            <w:vAlign w:val="center"/>
          </w:tcPr>
          <w:p w:rsidR="004F477C" w:rsidRPr="003D0150" w:rsidRDefault="004F477C" w:rsidP="006F02C3">
            <w:pPr>
              <w:jc w:val="center"/>
              <w:rPr>
                <w:sz w:val="20"/>
                <w:szCs w:val="20"/>
              </w:rPr>
            </w:pPr>
            <w:r w:rsidRPr="003D0150">
              <w:rPr>
                <w:sz w:val="20"/>
                <w:szCs w:val="20"/>
              </w:rPr>
              <w:t>Grab</w:t>
            </w:r>
          </w:p>
        </w:tc>
      </w:tr>
    </w:tbl>
    <w:p w:rsidR="00F77350" w:rsidRDefault="00F77350" w:rsidP="00686721"/>
    <w:p w:rsidR="00686721" w:rsidRPr="00686721" w:rsidRDefault="00F77350" w:rsidP="00686721">
      <w:r>
        <w:br w:type="page"/>
      </w:r>
    </w:p>
    <w:p w:rsidR="00C93084" w:rsidRDefault="00C93084" w:rsidP="00C93084">
      <w:pPr>
        <w:pStyle w:val="BodyText2"/>
        <w:tabs>
          <w:tab w:val="clear" w:pos="-1080"/>
          <w:tab w:val="clear" w:pos="-720"/>
          <w:tab w:val="clear" w:pos="0"/>
          <w:tab w:val="clear" w:pos="360"/>
        </w:tabs>
        <w:ind w:left="360"/>
      </w:pPr>
    </w:p>
    <w:p w:rsidR="004F477C" w:rsidRDefault="004F477C" w:rsidP="004F477C">
      <w:pPr>
        <w:jc w:val="both"/>
        <w:rPr>
          <w:sz w:val="22"/>
        </w:rPr>
      </w:pPr>
    </w:p>
    <w:p w:rsidR="004F477C" w:rsidRPr="00762AA4" w:rsidRDefault="004F477C" w:rsidP="004F477C">
      <w:pPr>
        <w:pStyle w:val="Heading8"/>
        <w:rPr>
          <w:bCs/>
          <w:i w:val="0"/>
          <w:sz w:val="28"/>
        </w:rPr>
      </w:pPr>
      <w:r>
        <w:rPr>
          <w:b/>
          <w:bCs/>
          <w:sz w:val="28"/>
        </w:rPr>
        <w:t>SECTION II (continued)</w:t>
      </w:r>
    </w:p>
    <w:p w:rsidR="004F477C" w:rsidRDefault="004F477C" w:rsidP="004F477C">
      <w:pPr>
        <w:pStyle w:val="Heading6"/>
        <w:rPr>
          <w:b/>
          <w:bCs/>
          <w:sz w:val="28"/>
        </w:rPr>
      </w:pPr>
      <w:r>
        <w:rPr>
          <w:b/>
          <w:bCs/>
        </w:rPr>
        <w:t>NOTES</w:t>
      </w:r>
    </w:p>
    <w:p w:rsidR="008A343B" w:rsidRDefault="008A343B">
      <w:pPr>
        <w:jc w:val="both"/>
        <w:rPr>
          <w:sz w:val="22"/>
        </w:rPr>
      </w:pPr>
    </w:p>
    <w:p w:rsidR="008A343B" w:rsidRPr="00C93084" w:rsidRDefault="008A343B" w:rsidP="009E38BF">
      <w:pPr>
        <w:numPr>
          <w:ilvl w:val="0"/>
          <w:numId w:val="5"/>
        </w:numPr>
        <w:ind w:left="360" w:right="180"/>
        <w:jc w:val="both"/>
        <w:rPr>
          <w:sz w:val="22"/>
          <w:szCs w:val="22"/>
        </w:rPr>
      </w:pPr>
      <w:r w:rsidRPr="00C93084">
        <w:rPr>
          <w:sz w:val="22"/>
          <w:szCs w:val="22"/>
        </w:rPr>
        <w:t xml:space="preserve">Monitoring activities shall be conducted during two (2) consecutive operational periods </w:t>
      </w:r>
      <w:r w:rsidR="00AD4290">
        <w:rPr>
          <w:sz w:val="22"/>
          <w:szCs w:val="22"/>
        </w:rPr>
        <w:t>each quarter</w:t>
      </w:r>
      <w:r w:rsidRPr="00C93084">
        <w:rPr>
          <w:sz w:val="22"/>
          <w:szCs w:val="22"/>
        </w:rPr>
        <w:t>.   (If the facility is open 24 hours a day, then sampling must be for 24 hours. If the facility is open 8 hours per day, then sampling is conducted for 8 hours.) Constituents requiring grab-sampling methods shall be collected during the same two (2) consecutive periods using appropriate sampling techniques.</w:t>
      </w:r>
    </w:p>
    <w:p w:rsidR="008A343B" w:rsidRPr="00C93084" w:rsidRDefault="008A343B" w:rsidP="009E38BF">
      <w:pPr>
        <w:ind w:left="360" w:right="180" w:hanging="360"/>
        <w:jc w:val="both"/>
        <w:rPr>
          <w:sz w:val="22"/>
          <w:szCs w:val="22"/>
        </w:rPr>
      </w:pPr>
    </w:p>
    <w:p w:rsidR="008A343B" w:rsidRPr="00C93084" w:rsidRDefault="003D65DB" w:rsidP="009E38BF">
      <w:pPr>
        <w:numPr>
          <w:ilvl w:val="0"/>
          <w:numId w:val="5"/>
        </w:numPr>
        <w:ind w:left="360" w:right="180"/>
        <w:jc w:val="both"/>
        <w:rPr>
          <w:sz w:val="22"/>
          <w:szCs w:val="22"/>
        </w:rPr>
      </w:pPr>
      <w:r w:rsidRPr="00C93084">
        <w:rPr>
          <w:sz w:val="22"/>
          <w:szCs w:val="22"/>
        </w:rPr>
        <w:t xml:space="preserve">All self-monitoring must be representative of the </w:t>
      </w:r>
      <w:r>
        <w:rPr>
          <w:sz w:val="22"/>
          <w:szCs w:val="22"/>
        </w:rPr>
        <w:t xml:space="preserve">treated process wastewater </w:t>
      </w:r>
      <w:r w:rsidRPr="00C93084">
        <w:rPr>
          <w:sz w:val="22"/>
          <w:szCs w:val="22"/>
        </w:rPr>
        <w:t xml:space="preserve">discharge from this facility.  This means that sampling shall be conducted without regard to </w:t>
      </w:r>
      <w:r>
        <w:rPr>
          <w:sz w:val="22"/>
          <w:szCs w:val="22"/>
        </w:rPr>
        <w:t xml:space="preserve">other </w:t>
      </w:r>
      <w:r w:rsidRPr="00C93084">
        <w:rPr>
          <w:sz w:val="22"/>
          <w:szCs w:val="22"/>
        </w:rPr>
        <w:t>activities at th</w:t>
      </w:r>
      <w:r>
        <w:rPr>
          <w:sz w:val="22"/>
          <w:szCs w:val="22"/>
        </w:rPr>
        <w:t>e</w:t>
      </w:r>
      <w:r w:rsidRPr="00C93084">
        <w:rPr>
          <w:sz w:val="22"/>
          <w:szCs w:val="22"/>
        </w:rPr>
        <w:t xml:space="preserve"> facility</w:t>
      </w:r>
      <w:r>
        <w:rPr>
          <w:sz w:val="22"/>
          <w:szCs w:val="22"/>
        </w:rPr>
        <w:t xml:space="preserve">. </w:t>
      </w:r>
      <w:r w:rsidRPr="00B75996">
        <w:rPr>
          <w:sz w:val="22"/>
          <w:szCs w:val="22"/>
        </w:rPr>
        <w:t xml:space="preserve"> </w:t>
      </w:r>
      <w:r>
        <w:rPr>
          <w:sz w:val="22"/>
          <w:szCs w:val="22"/>
        </w:rPr>
        <w:t>At no time shall constituents be allowed in amounts to a degree that would create interference, pass-through, or pose other operational problems at the receiving wastewater treatment plant</w:t>
      </w:r>
      <w:r w:rsidR="008A343B" w:rsidRPr="00C93084">
        <w:rPr>
          <w:sz w:val="22"/>
          <w:szCs w:val="22"/>
        </w:rPr>
        <w:t>.</w:t>
      </w:r>
    </w:p>
    <w:p w:rsidR="008A343B" w:rsidRPr="00C93084" w:rsidRDefault="008A343B" w:rsidP="009E38BF">
      <w:pPr>
        <w:ind w:left="360" w:right="180" w:hanging="360"/>
        <w:jc w:val="both"/>
        <w:rPr>
          <w:sz w:val="22"/>
          <w:szCs w:val="22"/>
        </w:rPr>
      </w:pPr>
    </w:p>
    <w:p w:rsidR="00215024" w:rsidRDefault="00D416A3" w:rsidP="009E38BF">
      <w:pPr>
        <w:numPr>
          <w:ilvl w:val="0"/>
          <w:numId w:val="5"/>
        </w:numPr>
        <w:ind w:left="360" w:right="180"/>
        <w:jc w:val="both"/>
        <w:rPr>
          <w:rFonts w:cs="Tahoma"/>
          <w:sz w:val="22"/>
          <w:szCs w:val="22"/>
        </w:rPr>
      </w:pPr>
      <w:r>
        <w:rPr>
          <w:sz w:val="22"/>
          <w:szCs w:val="22"/>
        </w:rPr>
        <w:t xml:space="preserve">Chick-Fil-A </w:t>
      </w:r>
      <w:r w:rsidR="008A343B" w:rsidRPr="00C93084">
        <w:rPr>
          <w:sz w:val="22"/>
          <w:szCs w:val="22"/>
        </w:rPr>
        <w:t xml:space="preserve">shall report wastewater discharge flow amounts to the County.  </w:t>
      </w:r>
      <w:r w:rsidR="00AD4290" w:rsidRPr="001C4C02">
        <w:rPr>
          <w:sz w:val="22"/>
          <w:szCs w:val="22"/>
        </w:rPr>
        <w:t xml:space="preserve">These amounts may be estimated from water usage information obtained from Frederick County water billing data. Alternatively, </w:t>
      </w:r>
      <w:r w:rsidR="00AD4290" w:rsidRPr="001C4C02">
        <w:rPr>
          <w:rFonts w:cs="Tahoma"/>
          <w:sz w:val="22"/>
          <w:szCs w:val="22"/>
        </w:rPr>
        <w:t xml:space="preserve">compliance </w:t>
      </w:r>
      <w:r w:rsidR="008A343B" w:rsidRPr="00C93084">
        <w:rPr>
          <w:rFonts w:cs="Tahoma"/>
          <w:sz w:val="22"/>
          <w:szCs w:val="22"/>
        </w:rPr>
        <w:t xml:space="preserve">with this requirement may be achieved by providing a monthly flow total obtained by recording daily </w:t>
      </w:r>
      <w:r w:rsidR="00AD4290">
        <w:rPr>
          <w:rFonts w:cs="Tahoma"/>
          <w:sz w:val="22"/>
          <w:szCs w:val="22"/>
        </w:rPr>
        <w:t xml:space="preserve">flow records from a flowmeter. If this latter method is chosen, </w:t>
      </w:r>
      <w:r w:rsidR="008A343B" w:rsidRPr="00C93084">
        <w:rPr>
          <w:rFonts w:cs="Tahoma"/>
          <w:sz w:val="22"/>
          <w:szCs w:val="22"/>
        </w:rPr>
        <w:t>please include a calculated average GPM and GPD based on the daily flowmeter readings</w:t>
      </w:r>
      <w:r w:rsidR="00FC170C" w:rsidRPr="00FC170C">
        <w:rPr>
          <w:rFonts w:cs="Tahoma"/>
          <w:sz w:val="22"/>
          <w:szCs w:val="22"/>
        </w:rPr>
        <w:t xml:space="preserve"> </w:t>
      </w:r>
      <w:r w:rsidR="00FC170C">
        <w:rPr>
          <w:rFonts w:cs="Tahoma"/>
          <w:sz w:val="22"/>
          <w:szCs w:val="22"/>
        </w:rPr>
        <w:t>t</w:t>
      </w:r>
      <w:r w:rsidR="00FC170C" w:rsidRPr="001C4C02">
        <w:rPr>
          <w:rFonts w:cs="Tahoma"/>
          <w:sz w:val="22"/>
          <w:szCs w:val="22"/>
        </w:rPr>
        <w:t>o ensure continued compliance with the discharge limitations specified in permit IU-0</w:t>
      </w:r>
      <w:r w:rsidR="00F77350">
        <w:rPr>
          <w:rFonts w:cs="Tahoma"/>
          <w:sz w:val="22"/>
          <w:szCs w:val="22"/>
        </w:rPr>
        <w:t>39</w:t>
      </w:r>
      <w:r w:rsidR="003D65DB">
        <w:rPr>
          <w:rFonts w:cs="Tahoma"/>
          <w:sz w:val="22"/>
          <w:szCs w:val="22"/>
        </w:rPr>
        <w:t xml:space="preserve">.  </w:t>
      </w:r>
      <w:r w:rsidR="003D65DB">
        <w:rPr>
          <w:sz w:val="22"/>
          <w:szCs w:val="22"/>
        </w:rPr>
        <w:t>Wastewater flow volumes discharged to the POTW shall be monitored and reported without limitation at this time. The Division of Utilities &amp; Solid Waste Management reserves the right to impose flow limitations at a later date should it be deemed necessary</w:t>
      </w:r>
      <w:r w:rsidR="008A343B" w:rsidRPr="00C93084">
        <w:rPr>
          <w:rFonts w:cs="Tahoma"/>
          <w:sz w:val="22"/>
          <w:szCs w:val="22"/>
        </w:rPr>
        <w:t>.</w:t>
      </w:r>
    </w:p>
    <w:p w:rsidR="00215024" w:rsidRDefault="00215024" w:rsidP="009E38BF">
      <w:pPr>
        <w:pStyle w:val="ListParagraph"/>
        <w:ind w:right="180"/>
        <w:rPr>
          <w:sz w:val="22"/>
          <w:szCs w:val="22"/>
        </w:rPr>
      </w:pPr>
    </w:p>
    <w:p w:rsidR="008A343B" w:rsidRPr="00215024" w:rsidRDefault="008A343B" w:rsidP="009E38BF">
      <w:pPr>
        <w:numPr>
          <w:ilvl w:val="0"/>
          <w:numId w:val="5"/>
        </w:numPr>
        <w:ind w:left="360" w:right="180"/>
        <w:jc w:val="both"/>
        <w:rPr>
          <w:rFonts w:cs="Tahoma"/>
          <w:sz w:val="22"/>
          <w:szCs w:val="22"/>
        </w:rPr>
      </w:pPr>
      <w:r w:rsidRPr="00215024">
        <w:rPr>
          <w:sz w:val="22"/>
          <w:szCs w:val="22"/>
        </w:rPr>
        <w:t>Frederick County Division of Utilities &amp; Solid Waste Management will issue surcharges for levels of BOD</w:t>
      </w:r>
      <w:r w:rsidR="00BE099D" w:rsidRPr="00BE099D">
        <w:rPr>
          <w:sz w:val="22"/>
          <w:szCs w:val="22"/>
          <w:vertAlign w:val="subscript"/>
        </w:rPr>
        <w:t>5</w:t>
      </w:r>
      <w:r w:rsidRPr="00215024">
        <w:rPr>
          <w:sz w:val="22"/>
          <w:szCs w:val="22"/>
        </w:rPr>
        <w:t xml:space="preserve"> and TSS in excess of 300 mg/l.</w:t>
      </w:r>
      <w:r w:rsidR="00215024" w:rsidRPr="00215024">
        <w:rPr>
          <w:sz w:val="22"/>
          <w:szCs w:val="22"/>
        </w:rPr>
        <w:t xml:space="preserve"> Discharge of wastewater containing BOD</w:t>
      </w:r>
      <w:r w:rsidR="00215024" w:rsidRPr="00215024">
        <w:rPr>
          <w:sz w:val="22"/>
          <w:szCs w:val="22"/>
          <w:vertAlign w:val="subscript"/>
        </w:rPr>
        <w:t>5</w:t>
      </w:r>
      <w:r w:rsidR="00215024" w:rsidRPr="00215024">
        <w:rPr>
          <w:sz w:val="22"/>
          <w:szCs w:val="22"/>
        </w:rPr>
        <w:t xml:space="preserve"> and TSS in excess of 600 mg/l shall be cited as violations of this permit in addition to any surcharges issued by the County.</w:t>
      </w:r>
    </w:p>
    <w:p w:rsidR="008A343B" w:rsidRPr="00C93084" w:rsidRDefault="008A343B" w:rsidP="009E38BF">
      <w:pPr>
        <w:pStyle w:val="BodyText2"/>
        <w:tabs>
          <w:tab w:val="clear" w:pos="0"/>
          <w:tab w:val="clear" w:pos="360"/>
          <w:tab w:val="left" w:pos="-108"/>
        </w:tabs>
        <w:ind w:left="360" w:right="180" w:hanging="360"/>
        <w:rPr>
          <w:szCs w:val="22"/>
        </w:rPr>
      </w:pPr>
    </w:p>
    <w:p w:rsidR="005F29F7" w:rsidRDefault="008A343B" w:rsidP="009E38BF">
      <w:pPr>
        <w:numPr>
          <w:ilvl w:val="0"/>
          <w:numId w:val="5"/>
        </w:numPr>
        <w:ind w:left="360" w:right="180"/>
        <w:jc w:val="both"/>
        <w:rPr>
          <w:sz w:val="22"/>
          <w:szCs w:val="22"/>
        </w:rPr>
      </w:pPr>
      <w:r w:rsidRPr="00C93084">
        <w:rPr>
          <w:sz w:val="22"/>
          <w:szCs w:val="22"/>
        </w:rPr>
        <w:t>The pH of the wastewater discharge shall not be less than 5.0 nor greater than 12.0.  Sampling for pH shall be conducted using grab techniques.  Sample collection shall be conducted on the same days as other grab sampling activities are conducted.</w:t>
      </w:r>
    </w:p>
    <w:p w:rsidR="005F29F7" w:rsidRDefault="005F29F7" w:rsidP="009E38BF">
      <w:pPr>
        <w:pStyle w:val="ListParagraph"/>
        <w:ind w:right="180"/>
        <w:rPr>
          <w:sz w:val="22"/>
          <w:szCs w:val="22"/>
        </w:rPr>
      </w:pPr>
    </w:p>
    <w:p w:rsidR="005F29F7" w:rsidRPr="005F29F7" w:rsidRDefault="002554A4" w:rsidP="009E38BF">
      <w:pPr>
        <w:numPr>
          <w:ilvl w:val="0"/>
          <w:numId w:val="5"/>
        </w:numPr>
        <w:ind w:left="360" w:right="180"/>
        <w:jc w:val="both"/>
        <w:rPr>
          <w:sz w:val="22"/>
          <w:szCs w:val="22"/>
        </w:rPr>
      </w:pPr>
      <w:r>
        <w:rPr>
          <w:sz w:val="22"/>
          <w:szCs w:val="22"/>
        </w:rPr>
        <w:t>The required Fats, Oil &amp; Grease sample, as listed above, shall be collected during the time that wastewater discharge is flowing from the facility (i.e. during mealtimes and cleanup activities).</w:t>
      </w:r>
    </w:p>
    <w:p w:rsidR="008A343B" w:rsidRPr="00C93084" w:rsidRDefault="00C93084">
      <w:pPr>
        <w:pStyle w:val="Heading8"/>
        <w:rPr>
          <w:bCs/>
          <w:i w:val="0"/>
          <w:sz w:val="28"/>
        </w:rPr>
      </w:pPr>
      <w:r>
        <w:rPr>
          <w:bCs/>
          <w:i w:val="0"/>
          <w:sz w:val="28"/>
        </w:rPr>
        <w:br w:type="page"/>
      </w:r>
    </w:p>
    <w:p w:rsidR="007413B6" w:rsidRDefault="007413B6" w:rsidP="007413B6">
      <w:pPr>
        <w:pStyle w:val="Heading8"/>
        <w:rPr>
          <w:bCs/>
          <w:i w:val="0"/>
          <w:sz w:val="28"/>
        </w:rPr>
      </w:pPr>
      <w:r>
        <w:rPr>
          <w:b/>
          <w:bCs/>
          <w:sz w:val="28"/>
        </w:rPr>
        <w:t>SECTION II (continued)</w:t>
      </w:r>
    </w:p>
    <w:p w:rsidR="007413B6" w:rsidRDefault="007413B6" w:rsidP="007413B6">
      <w:pPr>
        <w:pStyle w:val="Heading3"/>
      </w:pPr>
    </w:p>
    <w:p w:rsidR="007413B6" w:rsidRDefault="007413B6" w:rsidP="007413B6">
      <w:pPr>
        <w:pStyle w:val="Heading6"/>
        <w:rPr>
          <w:b/>
          <w:bCs/>
          <w:sz w:val="28"/>
        </w:rPr>
      </w:pPr>
      <w:r>
        <w:rPr>
          <w:b/>
          <w:bCs/>
        </w:rPr>
        <w:t>DEFINITIONS</w:t>
      </w:r>
    </w:p>
    <w:p w:rsidR="007413B6" w:rsidRDefault="007413B6" w:rsidP="007413B6"/>
    <w:p w:rsidR="007413B6" w:rsidRDefault="007413B6" w:rsidP="007413B6">
      <w:pPr>
        <w:spacing w:after="160"/>
        <w:ind w:left="342" w:hanging="342"/>
        <w:jc w:val="both"/>
        <w:rPr>
          <w:sz w:val="22"/>
        </w:rPr>
      </w:pPr>
      <w:r>
        <w:rPr>
          <w:sz w:val="22"/>
          <w:szCs w:val="22"/>
        </w:rPr>
        <w:t xml:space="preserve">“Composite Sample” means a combination of individual samples obtained at regular intervals </w:t>
      </w:r>
      <w:r>
        <w:rPr>
          <w:sz w:val="22"/>
        </w:rPr>
        <w:t xml:space="preserve">over the time period that the permit holder is discharging wastewater (usually equal to, but never greater than 24 hours).  </w:t>
      </w:r>
      <w:r>
        <w:rPr>
          <w:sz w:val="22"/>
          <w:szCs w:val="22"/>
        </w:rPr>
        <w:t>The volume of each individual timed sample shall be proportional to the flow rate during the sampling period.</w:t>
      </w:r>
    </w:p>
    <w:p w:rsidR="007413B6" w:rsidRDefault="007413B6" w:rsidP="007413B6">
      <w:pPr>
        <w:spacing w:after="160"/>
        <w:ind w:left="342" w:hanging="342"/>
        <w:jc w:val="both"/>
        <w:rPr>
          <w:sz w:val="22"/>
          <w:szCs w:val="22"/>
        </w:rPr>
      </w:pPr>
      <w:r>
        <w:rPr>
          <w:sz w:val="22"/>
          <w:szCs w:val="22"/>
        </w:rPr>
        <w:t>“Grab Sample” means an individual sample collected in less than 15 minutes, without regard to flow or time.</w:t>
      </w:r>
    </w:p>
    <w:p w:rsidR="007413B6" w:rsidRDefault="007413B6" w:rsidP="007413B6">
      <w:pPr>
        <w:spacing w:after="160"/>
        <w:ind w:left="342" w:hanging="342"/>
        <w:jc w:val="both"/>
        <w:rPr>
          <w:sz w:val="22"/>
          <w:szCs w:val="22"/>
        </w:rPr>
      </w:pPr>
      <w:r>
        <w:rPr>
          <w:sz w:val="22"/>
          <w:szCs w:val="22"/>
        </w:rPr>
        <w:t>“Measured Flow” means data obtained from flow measurement devices and methods consistent with approved scientific practices used to ensure accuracy and reliability.  Such devices shall be installed, calibrated, and maintained to ensure that the accuracy of the measurements is consistent with accepted capability of that type of device.  Flow measurement devices shall be capable of measuring flows with a maximum deviation of less than ten percent from true discharge rates throughout the range of expected flow volumes.</w:t>
      </w:r>
    </w:p>
    <w:p w:rsidR="007413B6" w:rsidRDefault="007413B6" w:rsidP="007413B6">
      <w:pPr>
        <w:spacing w:after="160"/>
        <w:ind w:left="342" w:hanging="342"/>
        <w:jc w:val="both"/>
        <w:rPr>
          <w:sz w:val="22"/>
          <w:szCs w:val="22"/>
        </w:rPr>
      </w:pPr>
      <w:r>
        <w:rPr>
          <w:sz w:val="22"/>
          <w:szCs w:val="22"/>
        </w:rPr>
        <w:t>“Estimated Flow” means the estimated daily wastewater discharge flow to the POTW. This volume is calculated using quarterly water consumption data from water bills issued by Frederick County or Frederick City.</w:t>
      </w:r>
    </w:p>
    <w:p w:rsidR="007413B6" w:rsidRDefault="007413B6" w:rsidP="007413B6">
      <w:pPr>
        <w:spacing w:after="160"/>
        <w:ind w:left="342" w:hanging="342"/>
        <w:jc w:val="both"/>
        <w:rPr>
          <w:sz w:val="22"/>
          <w:szCs w:val="22"/>
        </w:rPr>
      </w:pPr>
      <w:r>
        <w:rPr>
          <w:sz w:val="22"/>
          <w:szCs w:val="22"/>
        </w:rPr>
        <w:t>“Daily Maximum” means the maximum allowable discharge of a pollutant during any given 24-hour period.  The permit holder’s daily maximum limitations are expressed in terms of concentration.  The daily maximum discharge is the arithmetic average measurement of the pollutants derived from all measurements taken during that 24-hour period.</w:t>
      </w:r>
    </w:p>
    <w:p w:rsidR="007413B6" w:rsidRDefault="007413B6" w:rsidP="007413B6">
      <w:pPr>
        <w:spacing w:after="160"/>
        <w:ind w:left="342" w:hanging="342"/>
        <w:jc w:val="both"/>
        <w:rPr>
          <w:sz w:val="22"/>
        </w:rPr>
      </w:pPr>
      <w:r>
        <w:rPr>
          <w:sz w:val="22"/>
        </w:rPr>
        <w:t xml:space="preserve">"Monthly Average" means the highest allowable average of  "daily discharges" during one calendar month as calculated as the sum of all daily discharges measured during a calendar month divided by the number of daily discharges measured during that month. </w:t>
      </w:r>
    </w:p>
    <w:p w:rsidR="007413B6" w:rsidRDefault="007413B6" w:rsidP="007413B6">
      <w:pPr>
        <w:spacing w:after="160"/>
        <w:ind w:left="342" w:hanging="342"/>
        <w:jc w:val="both"/>
        <w:rPr>
          <w:sz w:val="22"/>
          <w:szCs w:val="22"/>
        </w:rPr>
      </w:pPr>
      <w:r>
        <w:rPr>
          <w:sz w:val="22"/>
          <w:szCs w:val="22"/>
        </w:rPr>
        <w:t>“DUSWM” means t</w:t>
      </w:r>
      <w:r>
        <w:rPr>
          <w:rFonts w:cs="Tahoma"/>
          <w:sz w:val="22"/>
          <w:szCs w:val="22"/>
        </w:rPr>
        <w:t>he Frederick County Division of Utilities and Solid Waste Management.</w:t>
      </w:r>
    </w:p>
    <w:p w:rsidR="007413B6" w:rsidRDefault="007413B6" w:rsidP="007413B6">
      <w:pPr>
        <w:tabs>
          <w:tab w:val="left" w:pos="4860"/>
        </w:tabs>
        <w:jc w:val="both"/>
        <w:rPr>
          <w:sz w:val="22"/>
          <w:szCs w:val="22"/>
        </w:rPr>
      </w:pPr>
      <w:r>
        <w:rPr>
          <w:sz w:val="22"/>
          <w:szCs w:val="22"/>
        </w:rPr>
        <w:t>“A Quarter” means a three month calendar period:</w:t>
      </w:r>
      <w:r>
        <w:rPr>
          <w:sz w:val="22"/>
          <w:szCs w:val="22"/>
        </w:rPr>
        <w:tab/>
        <w:t>First Quarter = January through March</w:t>
      </w:r>
    </w:p>
    <w:p w:rsidR="007413B6" w:rsidRDefault="007413B6" w:rsidP="007413B6">
      <w:pPr>
        <w:tabs>
          <w:tab w:val="left" w:pos="4860"/>
        </w:tabs>
        <w:jc w:val="both"/>
        <w:rPr>
          <w:sz w:val="22"/>
          <w:szCs w:val="22"/>
        </w:rPr>
      </w:pPr>
      <w:r>
        <w:rPr>
          <w:sz w:val="22"/>
          <w:szCs w:val="22"/>
        </w:rPr>
        <w:tab/>
        <w:t>Second Quarter = April through June</w:t>
      </w:r>
    </w:p>
    <w:p w:rsidR="007413B6" w:rsidRDefault="007413B6" w:rsidP="007413B6">
      <w:pPr>
        <w:tabs>
          <w:tab w:val="left" w:pos="4860"/>
        </w:tabs>
        <w:jc w:val="both"/>
        <w:rPr>
          <w:sz w:val="22"/>
          <w:szCs w:val="22"/>
        </w:rPr>
      </w:pPr>
      <w:r>
        <w:rPr>
          <w:sz w:val="22"/>
          <w:szCs w:val="22"/>
        </w:rPr>
        <w:tab/>
        <w:t>Third Quarter = July through September</w:t>
      </w:r>
    </w:p>
    <w:p w:rsidR="007413B6" w:rsidRDefault="007413B6" w:rsidP="007413B6">
      <w:pPr>
        <w:tabs>
          <w:tab w:val="left" w:pos="4860"/>
        </w:tabs>
        <w:spacing w:after="160"/>
        <w:jc w:val="both"/>
        <w:rPr>
          <w:sz w:val="22"/>
          <w:szCs w:val="22"/>
        </w:rPr>
      </w:pPr>
      <w:r>
        <w:rPr>
          <w:sz w:val="22"/>
          <w:szCs w:val="22"/>
        </w:rPr>
        <w:tab/>
        <w:t xml:space="preserve">Fourth Quarter = October through December </w:t>
      </w:r>
    </w:p>
    <w:p w:rsidR="007413B6" w:rsidRDefault="007413B6" w:rsidP="007413B6">
      <w:pPr>
        <w:spacing w:after="160"/>
        <w:ind w:left="342" w:hanging="342"/>
        <w:jc w:val="both"/>
        <w:rPr>
          <w:sz w:val="22"/>
          <w:szCs w:val="22"/>
        </w:rPr>
      </w:pPr>
      <w:r>
        <w:rPr>
          <w:sz w:val="22"/>
          <w:szCs w:val="22"/>
        </w:rPr>
        <w:t>“Slug Load” means any discharge that contains concentrations of pollutants equal to or greater than four (4) times permitted limits.</w:t>
      </w:r>
    </w:p>
    <w:p w:rsidR="007413B6" w:rsidRDefault="007413B6" w:rsidP="007413B6">
      <w:pPr>
        <w:spacing w:after="160"/>
        <w:ind w:left="342" w:hanging="342"/>
        <w:jc w:val="both"/>
        <w:rPr>
          <w:sz w:val="22"/>
          <w:szCs w:val="22"/>
        </w:rPr>
      </w:pPr>
      <w:r>
        <w:rPr>
          <w:sz w:val="22"/>
          <w:szCs w:val="22"/>
        </w:rPr>
        <w:t>“BOD</w:t>
      </w:r>
      <w:r>
        <w:rPr>
          <w:sz w:val="22"/>
          <w:szCs w:val="22"/>
          <w:vertAlign w:val="subscript"/>
        </w:rPr>
        <w:t>5</w:t>
      </w:r>
      <w:r>
        <w:rPr>
          <w:sz w:val="22"/>
          <w:szCs w:val="22"/>
        </w:rPr>
        <w:t xml:space="preserve"> (Biochemical Oxygen Demand)” means the quantity of oxygen utilized in the oxidation of organic matter found in the permit holder’s discharge.</w:t>
      </w:r>
    </w:p>
    <w:p w:rsidR="007413B6" w:rsidRDefault="007413B6" w:rsidP="007413B6">
      <w:pPr>
        <w:spacing w:after="160"/>
        <w:ind w:left="342" w:hanging="342"/>
        <w:jc w:val="both"/>
        <w:rPr>
          <w:sz w:val="22"/>
          <w:szCs w:val="22"/>
        </w:rPr>
      </w:pPr>
      <w:r>
        <w:rPr>
          <w:sz w:val="22"/>
          <w:szCs w:val="22"/>
        </w:rPr>
        <w:t>“TSS (Total Suspended Solids)” means the total amount of solid matter that floats on the surface of, or is suspended in water, wastewater, or liquid, and is removable by filtering.</w:t>
      </w:r>
    </w:p>
    <w:p w:rsidR="007413B6" w:rsidRDefault="007413B6" w:rsidP="007413B6">
      <w:pPr>
        <w:spacing w:after="160"/>
        <w:ind w:left="342" w:hanging="342"/>
        <w:jc w:val="both"/>
        <w:rPr>
          <w:sz w:val="22"/>
          <w:szCs w:val="22"/>
        </w:rPr>
      </w:pPr>
      <w:r>
        <w:rPr>
          <w:sz w:val="22"/>
          <w:szCs w:val="22"/>
        </w:rPr>
        <w:t>“FOG (Fats, Oil, &amp; Grease)” means the total amount of oily, non-miscible matter that floats on the surface, or is suspended in water or wastewater, that can collect in and eventually block water or sewer lines.</w:t>
      </w:r>
    </w:p>
    <w:p w:rsidR="0062136D" w:rsidRPr="008A343B" w:rsidRDefault="007413B6" w:rsidP="007413B6">
      <w:pPr>
        <w:spacing w:after="160"/>
        <w:ind w:left="342" w:hanging="342"/>
        <w:jc w:val="both"/>
        <w:rPr>
          <w:sz w:val="22"/>
          <w:szCs w:val="22"/>
        </w:rPr>
      </w:pPr>
      <w:r>
        <w:rPr>
          <w:sz w:val="22"/>
          <w:szCs w:val="22"/>
        </w:rPr>
        <w:t xml:space="preserve">“TTO” (Total Toxic Organics) means the sum of quantifiable Toxic Organic concentration values greater than 0.01 mg/l for each of the toxic organic compounds listed in 40 CFR 433.11(e). </w:t>
      </w:r>
    </w:p>
    <w:sectPr w:rsidR="0062136D" w:rsidRPr="008A343B" w:rsidSect="009E38BF">
      <w:headerReference w:type="default" r:id="rId8"/>
      <w:pgSz w:w="12240" w:h="15840"/>
      <w:pgMar w:top="900" w:right="126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A3" w:rsidRDefault="001E3AA3" w:rsidP="007A0007">
      <w:pPr>
        <w:pStyle w:val="BodyText"/>
      </w:pPr>
      <w:r>
        <w:separator/>
      </w:r>
    </w:p>
  </w:endnote>
  <w:endnote w:type="continuationSeparator" w:id="0">
    <w:p w:rsidR="001E3AA3" w:rsidRDefault="001E3AA3" w:rsidP="007A0007">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A3" w:rsidRDefault="001E3AA3" w:rsidP="007A0007">
      <w:pPr>
        <w:pStyle w:val="BodyText"/>
      </w:pPr>
      <w:r>
        <w:separator/>
      </w:r>
    </w:p>
  </w:footnote>
  <w:footnote w:type="continuationSeparator" w:id="0">
    <w:p w:rsidR="001E3AA3" w:rsidRDefault="001E3AA3" w:rsidP="007A0007">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AA4" w:rsidRDefault="00762AA4" w:rsidP="00762AA4">
    <w:pPr>
      <w:pStyle w:val="Heading1"/>
    </w:pPr>
    <w:r>
      <w:t>PERMIT IU-0</w:t>
    </w:r>
    <w:r w:rsidR="00D416A3">
      <w:t>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61655"/>
    <w:multiLevelType w:val="hybridMultilevel"/>
    <w:tmpl w:val="50BCC26C"/>
    <w:lvl w:ilvl="0" w:tplc="78967D4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1522D"/>
    <w:multiLevelType w:val="hybridMultilevel"/>
    <w:tmpl w:val="83FE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365DB"/>
    <w:multiLevelType w:val="hybridMultilevel"/>
    <w:tmpl w:val="95C2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74B75"/>
    <w:multiLevelType w:val="hybridMultilevel"/>
    <w:tmpl w:val="3666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120D6"/>
    <w:multiLevelType w:val="hybridMultilevel"/>
    <w:tmpl w:val="1F322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46EAD"/>
    <w:multiLevelType w:val="hybridMultilevel"/>
    <w:tmpl w:val="94D8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footnotePr>
    <w:footnote w:id="-1"/>
    <w:footnote w:id="0"/>
  </w:footnotePr>
  <w:endnotePr>
    <w:endnote w:id="-1"/>
    <w:endnote w:id="0"/>
  </w:endnotePr>
  <w:compat/>
  <w:rsids>
    <w:rsidRoot w:val="00FE7DA5"/>
    <w:rsid w:val="0001034C"/>
    <w:rsid w:val="0007789F"/>
    <w:rsid w:val="0010322F"/>
    <w:rsid w:val="001620D0"/>
    <w:rsid w:val="001C4C02"/>
    <w:rsid w:val="001E3AA3"/>
    <w:rsid w:val="00215024"/>
    <w:rsid w:val="00243D37"/>
    <w:rsid w:val="002532A7"/>
    <w:rsid w:val="002554A4"/>
    <w:rsid w:val="002B24F8"/>
    <w:rsid w:val="002B4C92"/>
    <w:rsid w:val="002B4DED"/>
    <w:rsid w:val="002E2676"/>
    <w:rsid w:val="002F170F"/>
    <w:rsid w:val="00387144"/>
    <w:rsid w:val="003D0150"/>
    <w:rsid w:val="003D65DB"/>
    <w:rsid w:val="003F0A99"/>
    <w:rsid w:val="003F1E47"/>
    <w:rsid w:val="00403628"/>
    <w:rsid w:val="0040444D"/>
    <w:rsid w:val="00433863"/>
    <w:rsid w:val="00452BAA"/>
    <w:rsid w:val="004F477C"/>
    <w:rsid w:val="00552A19"/>
    <w:rsid w:val="005616CA"/>
    <w:rsid w:val="005A4DF6"/>
    <w:rsid w:val="005B5A2C"/>
    <w:rsid w:val="005C10DF"/>
    <w:rsid w:val="005C7FFD"/>
    <w:rsid w:val="005F29F7"/>
    <w:rsid w:val="0062136D"/>
    <w:rsid w:val="00640020"/>
    <w:rsid w:val="006515C1"/>
    <w:rsid w:val="00686721"/>
    <w:rsid w:val="006A71EE"/>
    <w:rsid w:val="006F02C3"/>
    <w:rsid w:val="007413B6"/>
    <w:rsid w:val="00762AA4"/>
    <w:rsid w:val="007640CC"/>
    <w:rsid w:val="007A0007"/>
    <w:rsid w:val="007A080C"/>
    <w:rsid w:val="007F3E80"/>
    <w:rsid w:val="008232B2"/>
    <w:rsid w:val="00842B35"/>
    <w:rsid w:val="0085097A"/>
    <w:rsid w:val="00880494"/>
    <w:rsid w:val="008A343B"/>
    <w:rsid w:val="009368F8"/>
    <w:rsid w:val="009605BA"/>
    <w:rsid w:val="009C1FE8"/>
    <w:rsid w:val="009D5926"/>
    <w:rsid w:val="009E33DD"/>
    <w:rsid w:val="009E38BF"/>
    <w:rsid w:val="00A3013A"/>
    <w:rsid w:val="00A3101F"/>
    <w:rsid w:val="00A86A79"/>
    <w:rsid w:val="00A91249"/>
    <w:rsid w:val="00AD4290"/>
    <w:rsid w:val="00B51457"/>
    <w:rsid w:val="00B7025F"/>
    <w:rsid w:val="00B945F2"/>
    <w:rsid w:val="00B94B77"/>
    <w:rsid w:val="00BE099D"/>
    <w:rsid w:val="00C82250"/>
    <w:rsid w:val="00C9189D"/>
    <w:rsid w:val="00C93084"/>
    <w:rsid w:val="00CB0C9F"/>
    <w:rsid w:val="00CD73E3"/>
    <w:rsid w:val="00CF5431"/>
    <w:rsid w:val="00D040A0"/>
    <w:rsid w:val="00D416A3"/>
    <w:rsid w:val="00D449E8"/>
    <w:rsid w:val="00DA426D"/>
    <w:rsid w:val="00E0748C"/>
    <w:rsid w:val="00E13DA0"/>
    <w:rsid w:val="00E33BC8"/>
    <w:rsid w:val="00E505D0"/>
    <w:rsid w:val="00F32629"/>
    <w:rsid w:val="00F3781E"/>
    <w:rsid w:val="00F77350"/>
    <w:rsid w:val="00F87834"/>
    <w:rsid w:val="00FC170C"/>
    <w:rsid w:val="00FE7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tabs>
        <w:tab w:val="left" w:pos="360"/>
        <w:tab w:val="left" w:pos="960"/>
        <w:tab w:val="left" w:pos="1560"/>
        <w:tab w:val="left" w:pos="4800"/>
      </w:tabs>
      <w:jc w:val="both"/>
      <w:outlineLvl w:val="1"/>
    </w:pPr>
    <w:rPr>
      <w:b/>
      <w:bCs/>
      <w:i/>
      <w:iCs/>
    </w:rPr>
  </w:style>
  <w:style w:type="paragraph" w:styleId="Heading3">
    <w:name w:val="heading 3"/>
    <w:basedOn w:val="Normal"/>
    <w:next w:val="Normal"/>
    <w:link w:val="Heading3Char"/>
    <w:qFormat/>
    <w:pPr>
      <w:keepNext/>
      <w:tabs>
        <w:tab w:val="left" w:pos="-720"/>
        <w:tab w:val="left" w:pos="-58"/>
        <w:tab w:val="left" w:pos="633"/>
        <w:tab w:val="left" w:pos="1560"/>
        <w:tab w:val="left" w:pos="4800"/>
      </w:tabs>
      <w:spacing w:after="43"/>
      <w:jc w:val="center"/>
      <w:outlineLvl w:val="2"/>
    </w:pPr>
    <w:rPr>
      <w:b/>
      <w:bCs/>
      <w:sz w:val="22"/>
      <w:szCs w:val="22"/>
    </w:rPr>
  </w:style>
  <w:style w:type="paragraph" w:styleId="Heading4">
    <w:name w:val="heading 4"/>
    <w:basedOn w:val="Normal"/>
    <w:next w:val="Normal"/>
    <w:qFormat/>
    <w:pPr>
      <w:keepNext/>
      <w:tabs>
        <w:tab w:val="left" w:pos="360"/>
        <w:tab w:val="left" w:pos="960"/>
        <w:tab w:val="left" w:pos="1560"/>
        <w:tab w:val="left" w:pos="4800"/>
      </w:tabs>
      <w:jc w:val="both"/>
      <w:outlineLvl w:val="3"/>
    </w:pPr>
    <w:rPr>
      <w:b/>
      <w:bCs/>
      <w:sz w:val="28"/>
      <w:szCs w:val="28"/>
    </w:rPr>
  </w:style>
  <w:style w:type="paragraph" w:styleId="Heading5">
    <w:name w:val="heading 5"/>
    <w:basedOn w:val="Normal"/>
    <w:next w:val="Normal"/>
    <w:qFormat/>
    <w:pPr>
      <w:keepNext/>
      <w:outlineLvl w:val="4"/>
    </w:pPr>
    <w:rPr>
      <w:b/>
      <w:bCs/>
      <w:i/>
      <w:iCs/>
      <w:sz w:val="28"/>
    </w:rPr>
  </w:style>
  <w:style w:type="paragraph" w:styleId="Heading6">
    <w:name w:val="heading 6"/>
    <w:basedOn w:val="Normal"/>
    <w:next w:val="Normal"/>
    <w:link w:val="Heading6Char"/>
    <w:qFormat/>
    <w:pPr>
      <w:keepNext/>
      <w:jc w:val="center"/>
      <w:outlineLvl w:val="5"/>
    </w:pPr>
  </w:style>
  <w:style w:type="paragraph" w:styleId="Heading8">
    <w:name w:val="heading 8"/>
    <w:basedOn w:val="Normal"/>
    <w:next w:val="Normal"/>
    <w:link w:val="Heading8Char"/>
    <w:qFormat/>
    <w:pPr>
      <w:keepNext/>
      <w:outlineLvl w:val="7"/>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360"/>
        <w:tab w:val="left" w:pos="960"/>
        <w:tab w:val="left" w:pos="1560"/>
        <w:tab w:val="left" w:pos="4800"/>
      </w:tabs>
      <w:jc w:val="both"/>
    </w:pPr>
  </w:style>
  <w:style w:type="paragraph" w:styleId="BodyText2">
    <w:name w:val="Body Text 2"/>
    <w:basedOn w:val="Normal"/>
    <w:semiHidden/>
    <w:pPr>
      <w:tabs>
        <w:tab w:val="left" w:pos="-1080"/>
        <w:tab w:val="left" w:pos="-720"/>
        <w:tab w:val="left" w:pos="0"/>
        <w:tab w:val="left" w:pos="360"/>
      </w:tabs>
      <w:jc w:val="both"/>
    </w:pPr>
    <w:rPr>
      <w:sz w:val="22"/>
    </w:rPr>
  </w:style>
  <w:style w:type="paragraph" w:styleId="BodyText3">
    <w:name w:val="Body Text 3"/>
    <w:basedOn w:val="Normal"/>
    <w:semiHidden/>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uiPriority w:val="99"/>
    <w:unhideWhenUsed/>
    <w:rsid w:val="00762AA4"/>
    <w:pPr>
      <w:tabs>
        <w:tab w:val="center" w:pos="4680"/>
        <w:tab w:val="right" w:pos="9360"/>
      </w:tabs>
    </w:pPr>
  </w:style>
  <w:style w:type="character" w:customStyle="1" w:styleId="HeaderChar">
    <w:name w:val="Header Char"/>
    <w:basedOn w:val="DefaultParagraphFont"/>
    <w:link w:val="Header"/>
    <w:uiPriority w:val="99"/>
    <w:rsid w:val="00762AA4"/>
    <w:rPr>
      <w:sz w:val="24"/>
      <w:szCs w:val="24"/>
    </w:rPr>
  </w:style>
  <w:style w:type="paragraph" w:styleId="Footer">
    <w:name w:val="footer"/>
    <w:basedOn w:val="Normal"/>
    <w:link w:val="FooterChar"/>
    <w:uiPriority w:val="99"/>
    <w:semiHidden/>
    <w:unhideWhenUsed/>
    <w:rsid w:val="00762AA4"/>
    <w:pPr>
      <w:tabs>
        <w:tab w:val="center" w:pos="4680"/>
        <w:tab w:val="right" w:pos="9360"/>
      </w:tabs>
    </w:pPr>
  </w:style>
  <w:style w:type="character" w:customStyle="1" w:styleId="FooterChar">
    <w:name w:val="Footer Char"/>
    <w:basedOn w:val="DefaultParagraphFont"/>
    <w:link w:val="Footer"/>
    <w:uiPriority w:val="99"/>
    <w:semiHidden/>
    <w:rsid w:val="00762AA4"/>
    <w:rPr>
      <w:sz w:val="24"/>
      <w:szCs w:val="24"/>
    </w:rPr>
  </w:style>
  <w:style w:type="paragraph" w:styleId="BalloonText">
    <w:name w:val="Balloon Text"/>
    <w:basedOn w:val="Normal"/>
    <w:link w:val="BalloonTextChar"/>
    <w:uiPriority w:val="99"/>
    <w:semiHidden/>
    <w:unhideWhenUsed/>
    <w:rsid w:val="00762AA4"/>
    <w:rPr>
      <w:rFonts w:ascii="Tahoma" w:hAnsi="Tahoma" w:cs="Tahoma"/>
      <w:sz w:val="16"/>
      <w:szCs w:val="16"/>
    </w:rPr>
  </w:style>
  <w:style w:type="character" w:customStyle="1" w:styleId="BalloonTextChar">
    <w:name w:val="Balloon Text Char"/>
    <w:basedOn w:val="DefaultParagraphFont"/>
    <w:link w:val="BalloonText"/>
    <w:uiPriority w:val="99"/>
    <w:semiHidden/>
    <w:rsid w:val="00762AA4"/>
    <w:rPr>
      <w:rFonts w:ascii="Tahoma" w:hAnsi="Tahoma" w:cs="Tahoma"/>
      <w:sz w:val="16"/>
      <w:szCs w:val="16"/>
    </w:rPr>
  </w:style>
  <w:style w:type="paragraph" w:styleId="ListParagraph">
    <w:name w:val="List Paragraph"/>
    <w:basedOn w:val="Normal"/>
    <w:uiPriority w:val="34"/>
    <w:qFormat/>
    <w:rsid w:val="00D040A0"/>
    <w:pPr>
      <w:ind w:left="720"/>
    </w:pPr>
  </w:style>
  <w:style w:type="character" w:customStyle="1" w:styleId="Heading6Char">
    <w:name w:val="Heading 6 Char"/>
    <w:basedOn w:val="DefaultParagraphFont"/>
    <w:link w:val="Heading6"/>
    <w:rsid w:val="009E38BF"/>
    <w:rPr>
      <w:sz w:val="24"/>
      <w:szCs w:val="24"/>
    </w:rPr>
  </w:style>
  <w:style w:type="character" w:customStyle="1" w:styleId="Heading3Char">
    <w:name w:val="Heading 3 Char"/>
    <w:basedOn w:val="DefaultParagraphFont"/>
    <w:link w:val="Heading3"/>
    <w:rsid w:val="007413B6"/>
    <w:rPr>
      <w:b/>
      <w:bCs/>
      <w:sz w:val="22"/>
      <w:szCs w:val="22"/>
    </w:rPr>
  </w:style>
  <w:style w:type="character" w:customStyle="1" w:styleId="Heading8Char">
    <w:name w:val="Heading 8 Char"/>
    <w:basedOn w:val="DefaultParagraphFont"/>
    <w:link w:val="Heading8"/>
    <w:rsid w:val="007413B6"/>
    <w:rPr>
      <w:i/>
      <w:iCs/>
      <w:sz w:val="24"/>
      <w:szCs w:val="24"/>
    </w:rPr>
  </w:style>
</w:styles>
</file>

<file path=word/webSettings.xml><?xml version="1.0" encoding="utf-8"?>
<w:webSettings xmlns:r="http://schemas.openxmlformats.org/officeDocument/2006/relationships" xmlns:w="http://schemas.openxmlformats.org/wordprocessingml/2006/main">
  <w:divs>
    <w:div w:id="487405464">
      <w:bodyDiv w:val="1"/>
      <w:marLeft w:val="0"/>
      <w:marRight w:val="0"/>
      <w:marTop w:val="0"/>
      <w:marBottom w:val="0"/>
      <w:divBdr>
        <w:top w:val="none" w:sz="0" w:space="0" w:color="auto"/>
        <w:left w:val="none" w:sz="0" w:space="0" w:color="auto"/>
        <w:bottom w:val="none" w:sz="0" w:space="0" w:color="auto"/>
        <w:right w:val="none" w:sz="0" w:space="0" w:color="auto"/>
      </w:divBdr>
    </w:div>
    <w:div w:id="723067598">
      <w:bodyDiv w:val="1"/>
      <w:marLeft w:val="0"/>
      <w:marRight w:val="0"/>
      <w:marTop w:val="0"/>
      <w:marBottom w:val="0"/>
      <w:divBdr>
        <w:top w:val="none" w:sz="0" w:space="0" w:color="auto"/>
        <w:left w:val="none" w:sz="0" w:space="0" w:color="auto"/>
        <w:bottom w:val="none" w:sz="0" w:space="0" w:color="auto"/>
        <w:right w:val="none" w:sz="0" w:space="0" w:color="auto"/>
      </w:divBdr>
    </w:div>
    <w:div w:id="150917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E30F-5D32-4942-BE12-1336A6FC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PERMIT IU 016</vt:lpstr>
    </vt:vector>
  </TitlesOfParts>
  <Company>Frederick County Goverment, IIT</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IU 016</dc:title>
  <dc:subject/>
  <dc:creator>IIT</dc:creator>
  <cp:keywords/>
  <dc:description/>
  <cp:lastModifiedBy>Carter, Kenneth</cp:lastModifiedBy>
  <cp:revision>2</cp:revision>
  <cp:lastPrinted>2009-11-17T16:23:00Z</cp:lastPrinted>
  <dcterms:created xsi:type="dcterms:W3CDTF">2009-11-17T16:23:00Z</dcterms:created>
  <dcterms:modified xsi:type="dcterms:W3CDTF">2009-11-17T16:23:00Z</dcterms:modified>
</cp:coreProperties>
</file>